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5A_141/2016 vom 11. Mai 2016</w:t>
      </w:r>
    </w:p>
    <w:p>
      <w:r>
        <w:t>Bundesgericht, 2016-05-11, FR</w:t>
      </w:r>
    </w:p>
    <w:p>
      <w:r>
        <w:rPr>
          <w:b/>
        </w:rPr>
        <w:t xml:space="preserve">Quelle: </w:t>
      </w:r>
      <w:r>
        <w:t>https://mcp.opencaselaw.ch/entscheid/bger_5A_141_2016</w:t>
      </w:r>
    </w:p>
    <w:p>
      <w:r>
        <w:t>FR: TF 5A_141/2016 du 11 mai 2016</w:t>
      </w:r>
    </w:p>
    <w:p>
      <w:r>
        <w:t>IT: TF 5A_141/2016 del 11 maggio 2016</w:t>
      </w:r>
    </w:p>
    <w:p>
      <w:pPr>
        <w:pStyle w:val="Heading2"/>
      </w:pPr>
      <w:r>
        <w:t>Erwägungen</w:t>
      </w:r>
    </w:p>
    <w:p>
      <w:r>
        <w:rPr>
          <w:b/>
        </w:rPr>
        <w:t>E. 1</w:t>
      </w:r>
    </w:p>
    <w:p>
      <w:r>
        <w:t>Interjeté à temps ( art. 100 al. 1 LTF ) à l'encontre d'une décision finale ( art. 90 LTF ; ATF 133 III 589 consid. 1 p. 590) rendue en matière de poursuite pour dettes ( art. 72 al. 2 let. a LTF ) par une autorité cantonale de dernière instance statuant sur recours ( art. 75 LTF ), la présente écriture est recevable sous l'angle de ces dispositions. La valeur litigieuse étant manifestement atteinte, elle l'est aussi du chef de l' art. 74 al. 1 let. b LTF . La recourante a qualité pour recourir ( art. 76 al. 1 LTF ).</w:t>
      </w:r>
    </w:p>
    <w:p>
      <w:r>
        <w:rPr>
          <w:b/>
        </w:rPr>
        <w:t>E. 2.1</w:t>
      </w:r>
    </w:p>
    <w:p>
      <w:r>
        <w:t>D'après la jurisprudence, la décision sur opposition au séquestre prise par l'autorité judiciaire supérieure (cf. art. 278 al. 3 LP ) porte sur des " mesures provisionnelles " au sens de l' art. 98 LTF ( ATF 135 III 232 consid. 1.2 p. 234); dès lors, seule peut être dénoncée la violation de droits constitutionnels ( ATF 134 II 349 consid. 3 p. 351; 133 III 638 consid. 2 p. 638). Le Tribunal fédéral n'examine un tel grief que si, conformément au principe d'allégation, il a été invoqué et motivé ( art. 106 al. 2 LTF ), à savoir expressément soulevé et exposé de manière claire et détaillée ( ATF 133 IV 286 consid. 1.4 p. 287; 133 II 249 consid. 1.4.2 p. 254).</w:t>
      </w:r>
    </w:p>
    <w:p>
      <w:r>
        <w:t>Saisi d'un recours fondé sur l' art. 98 LTF , le Tribunal fédéral ne revoit l'application du droit fédéral que sous l'angle de l'arbitraire ( art. 9 Cst. ; ATF 135 III 232 consid. 1.2 p. 234; arrêt 5A_59/2012 du 26 avril 2012 consid. 1.3 et les références, non publié in ATF 138 III 382 ). La partie recourante ne peut ainsi se borner à critiquer la décision attaquée comme elle le ferait en instance d'appel, où l'autorité de recours dispose d'une libre cognition; elle ne saurait se contenter d'opposer son opinion à celle de la juridiction précédente, mais doit démontrer, par une argumentation précise, que cette décision se fonde sur une application du droit manifestement insoutenable ( ATF 134 II 349 consid. 3 p. 352; 133 II 396 consid. 3.2 p. 399).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 p. 245 ss).</w:t>
      </w:r>
    </w:p>
    <w:p>
      <w:r>
        <w:t>Les critiques de nature appellatoire sont irrecevables ( ATF 139 II 404 consid. 10.1 p. 445). Pour que la décision soit annulée, il ne suffit pas qu'une autre solution paraisse concevable, voire préférable, encore faut-il qu'elle se révèle arbitraire non seulement dans ses motifs, mais aussi dans son résultat ( ATF 133 I 149 consid. 3.1 p. 153 et les références).</w:t>
      </w:r>
    </w:p>
    <w:p>
      <w:r>
        <w:rPr>
          <w:b/>
        </w:rPr>
        <w:t>E. 2.2</w:t>
      </w:r>
    </w:p>
    <w:p>
      <w:r>
        <w:t>Le Tribunal fédéral statue sur la base des faits établis par l'autorité précédente ( art. 105 al. 1 LTF ). Dans l'hypothèse d'un recours soumis à l' art. 98 LTF , le recourant ne peut obtenir la rectification des constatations de fait de l'arrêt attaqué que s'il démontre la violation de droits constitutionnels par l'autorité cantonale, grief qu'il doit motiver en se conformant aux exigences du principe d'allégation précité (cf.</w:t>
      </w:r>
    </w:p>
    <w:p>
      <w:r>
        <w:t>supra consid. 2.1; ATF 133 III 585 consid. 4.1 p. 588 s.).</w:t>
      </w:r>
    </w:p>
    <w:p>
      <w:r>
        <w:rPr>
          <w:b/>
        </w:rPr>
        <w:t>E. 3</w:t>
      </w:r>
    </w:p>
    <w:p>
      <w:r>
        <w:t>Au chapitre " MOYENS (en cas d'application de l'article 95 LTF) ", la recourante reproche à la cour cantonale de ne pas avoir " appliqué la règle alors qu'elle le devait ". " A tout le moins " fait-elle valoir " une interprétation erronée du droit fédéral ", singulièrement une violation des art. 271 et 272 LP . Dès lors notamment que " toutes les conditions de l'existence d'un cas de séquestre sont réalisées ", le Tribunal cantonal avait écarté à tort " la mesure de séquestre ordonnée par l'autorité de première instance en date du 20 août 2015". Plus particulièrement, " alors que l'autorité de première instance [s'était] attelée à un examen rigoureux des conditions légales posées aux articles 272 LP et 271 LP, le Tribunal cantonal a passé outre cette analyse impérative et primordiale du droit fédéral permettant de trancher le litige en cause ". Il avait ainsi " fautivement omis de déterminer s'il y avait cas de séquestre au sens de l'article 271 LPet, si dans l'affirmative, l'autorisation de séquestre pouvait être délivrée à la lumière des exigences de l'article 272 LP ".</w:t>
      </w:r>
    </w:p>
    <w:p>
      <w:r>
        <w:t>Ce faisant, la recourante se méprend manifestement sur la nature du recours en matière civile au Tribunal fédéral contre une décision de dernière instance cantonale sur opposition au séquestre (cf.</w:t>
      </w:r>
    </w:p>
    <w:p>
      <w:r>
        <w:t>supra consid. 2.1). Faute de soulever, de manière claire et détaillée, la violation d'un droit de nature constitutionnelle, notamment l'interdiction de l'arbitraire au sens de l' art. 9 Cst. , ses griefs de violation des art. 271 et 272 LP sont irrecevables.</w:t>
      </w:r>
    </w:p>
    <w:p>
      <w:r>
        <w:rPr>
          <w:b/>
        </w:rPr>
        <w:t>E. 4</w:t>
      </w:r>
    </w:p>
    <w:p>
      <w:r>
        <w:t>Toujours au même chapitre, la recourante se plaint d' "excès du pouvoir d'examen " et, sans faire référence à l' art. 9 Cst. , de violation arbitraire des art. 271 et 272 LP , 1 et 2 OPC ainsi que de l' art. 58 CPC . Elle fait plus particulièrement grief à la cour cantonale d'avoir " d'emblée et à tort " considéré que l'inexistence d'un for de poursuite au sens des art. 46 ss LP n'était pas contestée et qu'il convenait ainsi de déterminer si le Juge de paix pouvait prononcer le séquestre en tant que juge du lieu où se trouvent les biens à séquestrer. A cet égard, les juges précédents avaient procédé à " un exposé quelque peu flou d'une série de jurisprudences fédérales ", lesquelles - pour des motifs en partie strictement identiques à ceux exposés dans ses déterminations cantonales (cf. mémoire cantonal, ch. 2, p. 3) - ne seraient pas pertinentes en l'espèce, de ne pas avoir " clairement et tangiblement " exposé " les éléments de son raisonnement ", et d'avoir en outre omis " d'appliquer le droit fédéral et d'indiquer en quoi le séquestre sollicité ne pourrait pas être prononcé alors même que la réalisation des articles 271 et 272 LP a été minutieusement vérifiée et démontrée par l'autorité de première instance ". La solution " préconisée " par la cour cantonale devrait ainsi être rejetée " car rendue de manière arbitraire et non conforme au droit fédéral ". La recourante présente ensuite une argumentation qu'elle reprendra à l'identique au chapitre suivant de son acte de recours intitulé " MOYENS (en cas d'application de l'article 98 LTF) " (comp. pp. 7-10 et 16-19 du recours).</w:t>
      </w:r>
    </w:p>
    <w:p>
      <w:r>
        <w:t>Si tant est que l'on doive considérer que la recourante entend par là se plaindre d'une violation de l' art. 9 Cst. , force est de constater qu'une telle motivation, purement appellatoire, ne respecte en rien les exigences découlant du principe d'allégation susrappelé (cf.</w:t>
      </w:r>
    </w:p>
    <w:p>
      <w:r>
        <w:t>supra consid. 2.1; cf. ég.</w:t>
      </w:r>
    </w:p>
    <w:p>
      <w:r>
        <w:t>infra consid. 6). Le grief est, partant, irrecevable.</w:t>
      </w:r>
    </w:p>
    <w:p>
      <w:r>
        <w:rPr>
          <w:b/>
        </w:rPr>
        <w:t>E. 5</w:t>
      </w:r>
    </w:p>
    <w:p>
      <w:r>
        <w:t>Au chapitre " MOYENS (en cas d'application de l'article 98 LTF) ", la recourante expose que son recours "est motivé en premier lieu par la violation du droit constitutionnel conféré à tout un chacun d'être traité par les organes de l'Etat sans arbitraire et conformément aux règles de la bonne foi ( art. 17 CEDH , art. 9 Cst. , art. 8 CC (sic)), ainsi que par le grief d'un déni de justice contraire à l'article 29 al. 1 Cst. en ce sens qu'il découle du formalisme excessif exercé par l'intimée dans ses actes d'opposition et de recours (qui invoque l'application des règles de procédure avec une rigueur qui ne justifie aucun intérêt digne de protection) ". Il conviendrait d'également constater la " violation des garanties conférées par les articles 29a et 30 Cst. (...) dans la mesure où le Tribunal cantonal a omis de trancher la cause sur la base de certains moyens (violation du (sic) maxime de disposition et violation de l'article 272 LP en corrélation avec les articles 1 et 2 OPC) ", étant rappelé à cet égard que " le droit est la base et la limite de l'activit é de l'Etat ( article 5 Cst.) ".</w:t>
      </w:r>
    </w:p>
    <w:p>
      <w:r>
        <w:t>Précisant son grief, la recourante indique ensuite ce qui suit: " Dans la mesure où le tribunal cantonal a accédé aux prétentions de l'intimée (sic) selon les moyens qu'elle (sic) lui a soumis sans pour autant tous les analyser, et qu'il convient de les considérer comme constitutifs d'une violation des droits et garanties constitutionnels susmentionnés, l'arrêt rendu par ledit tribunal, qui se fonde notamment sur une partie des moyens avancés par l'intimé, doit être considéré comme constitutif d'un abus de droit et viole ainsi les règles de la bonne foi. " Cela fait, la recourante rappelle et analyse sur près de trois pages les " moyens invoqués par l'intimé devant l'autorité de première instance " et la réponse que le Juge de paix leur a donnée. Puis, se référant aux " moyens invoqués par l'intimé devant l'autorité de deuxième instance ", la recourante affirme que l' art. 278 al. 3 LP " ne couvre pas les actes entrepris ou rédigés en violation de l'article 9 Cst. et 29 al. 1 Cst., 29a et 30 Cst. et en totale violation du principe de la bonne foi ". Exposant la teneur des moyens soulevés par l'intimé, la recourante rappelle que ce dernier a prétendu qu'il n'avait jamais contesté que " le for de la présente cause était aux Etats-Unis en raison du critère du domicile de l'intimée que la recourante (sic) qui aurait notamment justifié l'application du séquestre par l'article 271 al. 1 ch. 4 LP ". Et de poursuivre: " Cette affirmation, au-delà d'être téméraire, est symptomatique de la mauvaise foi de l'intimé à plus d'un titre et constitue une violation avérée des articles constitutionnels 9 et 29 al. 1, 29a et 30 Cst. "</w:t>
      </w:r>
    </w:p>
    <w:p>
      <w:r>
        <w:t>Une telle motivation, difficilement compréhensible, est à l'évidence irrecevable. En se référant à la décision de première instance et en reprochant à sa partie adverse d'avoir violé ses droits constitutionnels, la recourante ne s'en prend pas valablement à la décision entreprise (cf.</w:t>
      </w:r>
    </w:p>
    <w:p>
      <w:r>
        <w:t>supra consid. 2.1).</w:t>
      </w:r>
    </w:p>
    <w:p>
      <w:r>
        <w:rPr>
          <w:b/>
        </w:rPr>
        <w:t>E. 6</w:t>
      </w:r>
    </w:p>
    <w:p>
      <w:r>
        <w:t>Toujours au même chapitre, se concentrant sur les " griefs analysés et retenus par le Tribunal cantonal ", la recourante reproche aux juges précédents de ne pas avoir rempli " avec minutie " leur " devoir d'appréciation des moyens de droits (sic) invoqués par les parties ": "en suivant le raisonnement entrepris par l'intimé et en ne statuant que partiellement sur les moyens avancés par celle-ci (sic), tout en lui donnant raison sans s'appuyer sur des motifs et critères juridiques objectivement défendables, le Tribunal cantonal n'a pas usé de manière adéquate de son pouvoir d'examen ". Cela était d'autant plus " discutable " que " les actes et moyens entrepris par l'intimé pour faire valoir ses droits l'[avaient] été de manière manifestement contraire au principe de la bonne foi ".</w:t>
      </w:r>
    </w:p>
    <w:p>
      <w:r>
        <w:t>Singulièrement, la recourante soutient que " si le Tribunal cantonal avait scrupuleusement rempli ses fonctions, il aurait d'emblée constaté que l'intimé et son épouse ont tous deux déposé un acte de recours à l'encontre du dispositif du Juge de Paix du 20 août 2015, en date du 12 octobre 2015, mais que les (sic) toutes les conclusions prises l'ont été au nom de Monsieur C.B.________, y compris dans l'acte de recours déposé au nom de Madame ". La recourante fait ensuite grief à la cour cantonale d'avoir " omis de trancher bon nombre des moyens invoqués abusivement par l'intimé " et d'avoir, ce faisant, " fait sienne la mauvaise foi de l'intimé et son formalisme excessif constitutif d'une violation des garanties constitutionnelles érigées par les articles 9 et 29 al. 1, 29a et 30 Cst. ". Plus spécifiquement, le Tribunal cantonal n'aurait pas statué sur le " moyen de la violation de la maxime de disposition invoquée (sic) par l'intimé dans son acte d'opposition et de recours ", pas plus qu'il n'aurait tranché " la question de savoir si une violation de l'article 272 LP en corrélation avec les articles 1 et 2 OPC ". " Bien pire encore ", il n'avait nullement discuté de " l'exception d'incompétence des autorités et tribunaux suisse soulevée par l'intimé dans son acte de recours du 12 octobre 2015 ", en sorte qu'il n'avait pas " vérifi[é] (...) et [ ni] fait (...) clairement acte de sa compétence en s'appuyant sur une norme légale la lui conférant ". Ce faisant, il avait " violé le droit fédéral en omettant de l'appliquer et en ne vérifiant ainsi pas pas (sic) lesquelles des (sic) dispositions de la LP étaient en l'occurrence respectées, ou à l'inverse lesquelles devaient être retenues comme non vérifiées ". Or, la recourante rappelle qu'elle avait en l'espèce toujours soutenu que le for " induit " par l' art. 272 al. 1 LP était " donné et vérifié au moyen de l'inscription portée au registre foncier selon laquelle l'intimé est propriétaire avec son épouse, en la forme d'une société simple, de la parcelle xxx de D.________ ". Les références jurisprudentielles invoquées par l'intimée et " retenues " par la cour cantonale n'étaient " au demeurant " pas pertinentes. Les époux B.________ étaient en effet " propriétaires en mains communes (sic) d'un bien immobilier, situé exclusivement (sic) en Suisse, à D.________, les deux époux étant débiteurs solidaires des montants dus à la recourante, qui a requis le séquestre à l'encontre de ces deux époux ". Il y avait ainsi identité entre le produit de la vente de l'immeuble et le droit des époux à leur part, de sorte que l'objet à séquestrer était bien en Suisse au lieu de l'immeuble. Déclarer constituer une société simple portant sur un immeuble en Suisse pour échapper au séquestre, alors que les droits des propriétaires sont limités à cet objet unique et que les époux sont codébiteurs solidaires, constitue une " manière beaucoup trop facile et abusive de soustraire (sic) aux garanties prévues par la LP ", respectivement " un mode de procéder rel[evant] de l'abus de droit " ou encore " un tour de passe-passe purement formel et éloigné de toute réalité matérielle, soit la propriété commune par les deux époux débiteurs d'un immeuble en Suisse, qui doit pouvoir être séquestré pour garantir les droits du créancier ". En cautionnant cela, la décision querellée aboutissait à une insécurité juridique et à un résultat arbitraire ne pouvant qu'être sanctionnés. Il convenait par ailleurs de rappeler que dans un arrêt publié aux ATF 113 III 40 " traitant de la société simple entre époux ", le Tribunal fédéral avait " considéré que l'autorité de surveillance n'avait pas à trancher des questions de droit matériel, à l'issue de la liquidation du régime matrimonial, à l'époux débiteur saisi en instance de divorce (sic) " et que, partant, il ne fallait pas " attendre le résultat de cette liquidation pour réaliser la part de cet époux dans un immeuble appartenant à la société simple ". En l'espèce, la solution correcte consistait plutôt à " appliquer la solution retenue dans le cadre du commentaire de l' ATF 118 III 62 paru dans le JT 1994 II 85", dont elle reproduit des extraits. Pour le surplus, comme elle l'avait soutenu en instance cantonale, toutes les conditions d'octroi du séquestre étaient en l'espèce réunies, " tout raisonnement contraire [étant] constitutif d'une violation arbitraire du droit fédéral ". Violait également de manière arbitraire le droit fédéral le fait que la cour cantonale ne s'était pas déterminée sur le moyen pris par l'intimé de la violation du principe de disposition ( art. 58 CPC ).</w:t>
      </w:r>
    </w:p>
    <w:p>
      <w:r>
        <w:t>Une telle motivation, confuse et au demeurant difficilement compréhensible en tant que la recourante se plaint essentiellement du fait que la cour cantonale n'a pas examiné plusieurs moyens invoqués par sa partie adverse, est purement appellatoire. Elle ne respecte donc pas les exigences de motivation découlant du principe d'allégation, ce d'autant qu'elle constitue pour partie une reprise mot pour mot des déterminations déposées devant la cour cantonale (cf.</w:t>
      </w:r>
    </w:p>
    <w:p>
      <w:r>
        <w:t>supra consid. 2.1). Il en va notamment ainsi de l'argument consistant à dire qu'il y a identité entre le produit de la vente de l'immeuble et le droit des époux à leur part (cf. mémoire cantonal, ch. 2 let. a., p. 3) ainsi que de celui ayant trait à l'abus de droit lié à la constitution d'une société simple (cf. mémoire cantonal, ch. 2 let. b p. 3 s.). Pour le reste, citer un arrêt portant sur le pouvoir d'examen de l'autorité de surveillance en matière de poursuites et faillites et le sursis à la vente aux enchères, préconiser l'application d'une solution proposée par un auteur de doctrine dans un commentaire de l'arrêt suivi par la cour cantonale ou encore affirmer péremptoirement que toutes les conditions d'octroi du séquestre sont réunies ne sont pas non plus de nature à démontrer l'arbitraire de la décision querellée dans son résultat. Au demeurant, il sera relevé que l' ATF 118 III 62 sur lequel se fonde à juste titre l'arrêt cantonal a, comme l'ont rappelé les juges précédents, été à maintes fois confirmé nonobstant la critique formulée par Pierre-Robert Gilliéron sur laquelle se base la recourante. Or, cette dernière se borne à reproduire le texte de cette critique et à affirmer que " les références jurisprudentielles invoquées par l'intimé dans son acte de recours du 12 octobre 2015 et retenues par l'autorité de deuxième instance dans son arrêt du 10 décembre 2015 ne sont pas pertinentes " pour les mêmes motifs que ceux déjà exposés devant la cour cantonale, ce qui est insuffisant et, partant, impropre à valablement remettre en cause les principes résultant de la jurisprudence constante appliquée par la cour cantonale.</w:t>
      </w:r>
    </w:p>
    <w:p>
      <w:r>
        <w:t>Il suit de là que le moyen est, là également, irrecevable.</w:t>
      </w:r>
    </w:p>
    <w:p>
      <w:r>
        <w:rPr>
          <w:b/>
        </w:rPr>
        <w:t>E. 7</w:t>
      </w:r>
    </w:p>
    <w:p>
      <w:r>
        <w:t>En définitive, le recours doit être déclaré irrecevable, aux frais de son auteur ( art. 66 al. 1 LTF ). Il n'y a pas lieu d'allouer de dépens à l'intimé, qui s'en est rapporté à justice s'agissant de l'effet suspensif et qui n'a pas été invité à se déterminer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