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5A_140/2022 vom 3. März 2022</w:t>
      </w:r>
    </w:p>
    <w:p>
      <w:r>
        <w:t>Bundesgericht, 2022-03-03, DE</w:t>
      </w:r>
    </w:p>
    <w:p>
      <w:r>
        <w:rPr>
          <w:b/>
        </w:rPr>
        <w:t xml:space="preserve">Quelle: </w:t>
      </w:r>
      <w:r>
        <w:t>https://mcp.opencaselaw.ch/entscheid/bger_5A_140_2022</w:t>
      </w:r>
    </w:p>
    <w:p>
      <w:r>
        <w:t>FR: TF 5A_140/2022 du 3 mars 2022</w:t>
      </w:r>
    </w:p>
    <w:p>
      <w:r>
        <w:t>IT: TF 5A_140/2022 del 3 marzo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Kern des angefochtenen Entscheides und bereits des vorangegangenen KESB-Entscheides bildet die Erwägung, dass die Beschwerdeführerin die bisherigen Massnahmen durchkreuzt habe, indem sie weiterhin Rechtsgeschäfte getätigt und nicht durchführbare Vereinbarungen getroffen und mit ihrem Verhalten das beistandschaftliche Mandat konkurrenziert habe. Der zuständige Facharzt habe festgestellt, dass die Urteilsfähigkeit in Bezug auf die Wahrnehmung eigener finanzieller Interessen partiell sowie in Bezug auf die Wahrnehmung von administrativen und rechtlichen Angelegenheiten gänzlich nicht mehr gegeben sei. Die arglistige Erschleichung von Zahlungen ihrer Schwester stelle sie als unproblematisch dar und sie sei überzeugt, dass sie mit ihren Zahlungen an Personen in London eine grosse Erbschaft auslöse und diese Gelder eintreffen würden. Sie füge sich durch ihr Verhalten finanziellen Schaden zu, sie entzweie sich mit den verbleibenden Verwandten und verunmögliche die Rahmensetzung durch die Beiständin.</w:t>
      </w:r>
    </w:p>
    <w:p>
      <w:r>
        <w:t>Mit diesen Erwägungen setzt sich die Beschwerdeführerin nicht in sachgerichteter Weise auseinander. Sie hält vielmehr fest, man solle ihr erklären, inwiefern sie das beistandschaftliche Mandat konkurrenziere. Im Übrigen geht sie sinngemäss davon aus, dass die ärztliche Einschätzung eine Lüge sei, und bestreitet im Zusammenhang mit der (vorliegend nicht Anfechtungsgegenstand bildenden fürsorgerischen Unterbringung) die diagnostizierten Störungen.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