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140/2012 vom 9. Mai 2012</w:t>
      </w:r>
    </w:p>
    <w:p>
      <w:r>
        <w:t>Bundesgericht, 2012-05-09, DE</w:t>
      </w:r>
    </w:p>
    <w:p>
      <w:r>
        <w:rPr>
          <w:b/>
        </w:rPr>
        <w:t xml:space="preserve">Quelle: </w:t>
      </w:r>
      <w:r>
        <w:t>https://mcp.opencaselaw.ch/entscheid/bger_5A_140_2012</w:t>
      </w:r>
    </w:p>
    <w:p>
      <w:r>
        <w:t>FR: TF 5A 140/2012 du 9 mai 2012</w:t>
      </w:r>
    </w:p>
    <w:p>
      <w:r>
        <w:t>IT: TF 5A 140/2012 del 9 maggio 2012</w:t>
      </w:r>
    </w:p>
    <w:p>
      <w:pPr>
        <w:pStyle w:val="Heading2"/>
      </w:pPr>
      <w:r>
        <w:t>Regeste</w:t>
      </w:r>
    </w:p>
    <w:p>
      <w:r>
        <w:t>Steigerung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Eingabe vom 11. Februar 2012 ist daher als Beschwerde in Zivilsachen entgegenzunehmen und auf ihre Zulässigkeit hin zu prüfen.</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nur so weit vorgebracht werden, als erst der Entscheid der Vorinstanz dazu Anlass gibt ( Art. 99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im Einzelnen darzulegen, inwiefern der Entscheid an einem qualifizierten Mangel leidet ( BGE 134 II 244 E. 2.1 und 2.2 S. 245 f.). Zudem hat der Beschwerdeführer einen Antrag in der Sache zu stellen, der in der Regel über eine blosse Aufhebung oder Rückweisung hinausgeht ( Art. 107 Abs. 2 BGG ; BGE 133 III 489 E. 3.2 S. 490). Zwar begnügen sich die Beschwerdeführer mit einem Aufhebungsantrag, indes kann ihren Vorbringen entnommen werden, dass sie die Versteigerung der gepfändeten Forderung verhindern wollen.</w:t>
      </w:r>
    </w:p>
    <w:p>
      <w:r>
        <w:rPr>
          <w:b/>
        </w:rPr>
        <w:t>E. 2</w:t>
      </w:r>
    </w:p>
    <w:p>
      <w:r>
        <w:t>Anlass der vorliegenden Beschwerde bildet einzig die Steigerungsanzeige des Betreibungsamtes. Nicht Gegenstand des Verfahrens bildet hingegen die vorangegangene Pfändung der zur Verwertung gebrachten Forderung.</w:t>
      </w:r>
    </w:p>
    <w:p>
      <w:r>
        <w:rPr>
          <w:b/>
        </w:rPr>
        <w:t>E. 2.1</w:t>
      </w:r>
    </w:p>
    <w:p>
      <w:r>
        <w:t>Im Anschluss an das Verwertungsbegehren des Betreibungsgläubigers teilte das Betreibungsamt den beiden Schuldnern die Steigerung mit und publizierte sie in drei Regionalzeitungen. Anlässlich der Steigerung vom 7. November 2011 erhielt die W.________ GmbH nach dreimaligem Aufruf zum Höchstangebot von Fr. 1'000.-- den Zuschlag für die gepfändete Forderung. In der gleichentags gegen die Steigerungsanzeige erhobenen Beschwerde wehrten sich die Schuldner gegen die Verwertung. Dass diese nicht ordnungsgemäss vorbereitet und publiziert worden war, machten sie damals nicht geltend. Ebenso wenig beriefen sie sich auf einen Verwertungsaufschub nach Art. 123 SchKG (vgl. dazu BGE 135 III 28 E. 3 S. 29; Urteil 5A_858/2011 vom 20. Januar 2012 E. 2). Sie brachten im Wesentlichen vor, eine strittige Forderung könne gar nicht verwertet werden. Sowohl die untere wie die obere Aufsichtsbehörde erläuterten den Beschwerdeführern in ihrem Entscheid die Voraussetzungen einer Verwertung. Insbesondere wiesen sie darauf hin, dass eine rechtsgültig gepfändete Forderung auch dann verwertet werden könne, wenn sie strittig sei. Die Verwertung könne zudem nur durch eine sofortige Tilgung der in Betreibung gesetzten Forderung abgewendet werden. Mit dieser Begründung setzen sich die Beschwerdeführer auch vor Bundesgericht nicht auseinander. Stattdessen wiederholen sie den bereits im kantonalen Verfahren geäusserten Vorwurf, die Verwertung sei sittenwidrig. Ihre weiteren Ausführungen zu anderen Verfahren, insbesondere einem Forderungsprozess in Hamburg, sind für die Frage der Zulässigkeit der in Frage stehenden Verwertung ohne Belang. Zudem rügen die Beschwerdeführer in allgemeiner Weise und ohne Bezugnahme auf das konkrete Verfahren, die Vorinstanz habe ihr rechtliches Gehör verletzt. Damit genügen sie ihrer Begründungspflicht in keiner Weise (E. 1.2).</w:t>
      </w:r>
    </w:p>
    <w:p>
      <w:r>
        <w:rPr>
          <w:b/>
        </w:rPr>
        <w:t>E. 2.2</w:t>
      </w:r>
    </w:p>
    <w:p>
      <w:r>
        <w:t>Soweit die Beschwerdeführer die Verwertung als Widerspruch zur Gewährung der aufschiebenden Wirkung seitens der Vorinstanz darstellen, sind sie darauf hinzuweisen, dass diese richterliche Anordnung, welche im Beschwerdeverfahren (Nr. 110219) gegen die Pfändung getroffen wurde, erst nach Anordnung der hier angefochtenen Steigerungsanzeige sowie Durchführung der Steigerung erlassen worden ist. Insoweit ist ihnen die Rechtslage im angefochtenen Entscheid bereits erläutert worden, womit sie sich erneut nicht auseinandersetzen. Zudem verkennen sie offenbar, dass einer Beschwerde an die kantonale Aufsichtsbehörde keine aufschiebende Wirkung zukommt, es sei denn, die zuständige Instanz würde ihr diese Wirkung einräumen ( Art. 36 SchKG ). Wenn der Beschwerde gegen die Pfändung am 24. November 2011 die aufschiebende Wirkung dahingehend gewährt wurde, dass "keine Verwertungshandlung" erfolgen darf, bedeutet dies für eine früher angeordnete Verwertungshandlung lediglich, dass deren Wirksamkeit gehemmt wird ( BGE 31 I 354 E. 3 S. 357; 130 III 657 E. 2.2.4 S. 660, mit Hinw.). Dass hingegen der umstrittenen Anordnung der Steigerungsanzeige am 25. Oktober 2011 etwas entgegen gestanden habe oder die Beschwerdeführer seinerzeit mit der Beschwerde gegen die Steigerungsanzeige ein Gesuch um aufschiebende Wirkung gestellt hätten, behaupten sie nicht einmal und aus den Akten geht nichts in dieser Richtung hervor.</w:t>
      </w:r>
    </w:p>
    <w:p>
      <w:r>
        <w:rPr>
          <w:b/>
        </w:rPr>
        <w:t>E. 3</w:t>
      </w:r>
    </w:p>
    <w:p>
      <w:r>
        <w:t>Nach dem Gesagten kann auf die Beschwerde insgesamt nicht eingetreten werden. Ausgangsgemäss tragen die Beschwerdeführer die Kosten des bundesgerichtlichen Verfahrens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