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5A_139/2023 vom 1. März 2023</w:t>
      </w:r>
    </w:p>
    <w:p>
      <w:r>
        <w:t>Bundesgericht, 2023-03-01, DE</w:t>
      </w:r>
    </w:p>
    <w:p>
      <w:r>
        <w:rPr>
          <w:b/>
        </w:rPr>
        <w:t xml:space="preserve">Quelle: </w:t>
      </w:r>
      <w:r>
        <w:t>https://mcp.opencaselaw.ch/entscheid/bger_5A_139_2023</w:t>
      </w:r>
    </w:p>
    <w:p>
      <w:r>
        <w:t>FR: TF 5A_139/2023 du 1 mars 2023</w:t>
      </w:r>
    </w:p>
    <w:p>
      <w:r>
        <w:t>IT: TF 5A_139/2023 del 1 marzo 2023</w:t>
      </w:r>
    </w:p>
    <w:p>
      <w:pPr>
        <w:pStyle w:val="Heading2"/>
      </w:pPr>
      <w:r>
        <w:t>Erwägungen</w:t>
      </w:r>
    </w:p>
    <w:p>
      <w:r>
        <w:rPr>
          <w:b/>
        </w:rPr>
        <w:t>E. 1</w:t>
      </w:r>
    </w:p>
    <w:p>
      <w:r>
        <w:t>Angefochten ist ein kantonal letztinstanzlicher Entscheid betreffend Kindesbelange; die Beschwerde in Zivilsachen steht offen ( Art. 72 Abs. 1 und Art. 75 Abs. 1 BGG ).</w:t>
      </w:r>
    </w:p>
    <w:p>
      <w:r>
        <w:t>Weil es um vorsorgliche Massnahmen geht, kann nur die Verletzung verfassungsmässiger Rechte gerügt werden ( Art. 98 BGG ), wofür das strenge Rügeprinzip im Sinn von Art. 106 Abs. 2 BGG gilt. Das bedeutet, dass das Bundesgericht nur klar und detailliert erhobene und soweit möglich belegte Rügen prüft, während es auf ungenügend begründete Rügen und appellatorische Kritik am angefochtenen Entscheid nicht eintritt ( BGE 134 II 244 E. 2.2; 142 III 364 E. 2.4).</w:t>
      </w:r>
    </w:p>
    <w:p>
      <w:r>
        <w:t>Weil die Vorinstanz auf das Rechtsmittel des Beschwerdeführers nicht eingetreten ist, beschränkt sich der vor Bundesgericht mögliche Anfechtungsgegenstand auf die Frage, ob sie zu Recht einen Nichteintretensentscheid gefällt hat ( BGE 135 II 38 E. 1.2; 139 II 233 E. 3.2). Hierauf haben sich die erwähnten Verfassungsrügen zu beziehen.</w:t>
      </w:r>
    </w:p>
    <w:p>
      <w:r>
        <w:rPr>
          <w:b/>
        </w:rPr>
        <w:t>E. 2</w:t>
      </w:r>
    </w:p>
    <w:p>
      <w:r>
        <w:t>Es werden keinerlei Verfassungsrügen erhoben, wobei die Ausführungen in der Beschwerde ohnehin nicht zutreffen würden: Der Beschwerdeführer macht geltend, das Obergericht habe im Schreiben vom 19. Januar 2023 suggeriert, dass es eine generelle Möglichkeit gebe, auf die gestellten Rechtsbegehren mit Erfolg einzutreten; er habe dem Obergericht nie angeboten, eine Berufung einzulegen, sondern vielmehr sei selbst ihm als Laie sofort klar gewesen, dass im Januar 2023 keine Berufungsmöglichkeit gegen eine Verfügung vom Oktober 2022 bestehen würde, und das Obergericht habe ihn somit in die Irre geführt. Das Obergericht hat indes den Beschwerdeführer angefragt, ob seine Eingabe (entsprechend der Überschrift) als Rechtsverzögerungsbeschwerde oder (entsprechend den Rechtsbegehren) als Rechtsmittel gegen die Verfügung vom 7. Oktober 2022 zu verstehen sei und der Beschwerdeführer hat geantwortet, dass auf die Rechtsbegehren abzustellen sei. Das Obergericht durfte und musste deshalb von einem Rechtsmittel gegen die Verfügung und damit von einer Berufung ausgehen. Inwiefern dadurch verfassungsmässige Rechte hätten verletzt worden sein können, tut der Beschwerdeführer wie gesagt nicht dar und solches ist auch nicht ansatzweise ersichtlich.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