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139/2019 vom 25. Juni 2019</w:t>
      </w:r>
    </w:p>
    <w:p>
      <w:r>
        <w:t>Bundesgericht, 2019-06-25, FR</w:t>
      </w:r>
    </w:p>
    <w:p>
      <w:r>
        <w:rPr>
          <w:b/>
        </w:rPr>
        <w:t xml:space="preserve">Quelle: </w:t>
      </w:r>
      <w:r>
        <w:t>https://mcp.opencaselaw.ch/entscheid/bger_5A_139_2019</w:t>
      </w:r>
    </w:p>
    <w:p>
      <w:r>
        <w:t>FR: TF 5A 139/2019 du 25 juin 2019</w:t>
      </w:r>
    </w:p>
    <w:p>
      <w:r>
        <w:t>IT: TF 5A 139/2019 del 25 giugno 2019</w:t>
      </w:r>
    </w:p>
    <w:p>
      <w:pPr>
        <w:pStyle w:val="Heading2"/>
      </w:pPr>
      <w:r>
        <w:t>Regeste</w:t>
      </w:r>
    </w:p>
    <w:p>
      <w:r>
        <w:t>mesures protectrices de l'union conjugale | Droit de la famille</w:t>
      </w:r>
    </w:p>
    <w:p>
      <w:pPr>
        <w:pStyle w:val="Heading2"/>
      </w:pPr>
      <w:r>
        <w:t>Erwägungen</w:t>
      </w:r>
    </w:p>
    <w:p>
      <w:r>
        <w:rPr>
          <w:b/>
        </w:rPr>
        <w:t>E. 1</w:t>
      </w:r>
    </w:p>
    <w:p>
      <w:r>
        <w:t>Par arrêt du 14 janvier 2019, la Chambre civile de la Cour de justice du canton de Genève a, sur requête de suspension du caractère exécutoire du jugement de mesures protectrices de l'union conjugale rendu le 28 novembre 2018 par le Tribunal de première instance, admis la requête formée par B.A.________ tendant à suspendre le caractère exécutoire des ch. 2 et 3 du dispositif dudit jugement (attribution de la jouissance de domicile conjugal et délai pour quitter le logement) et l'a rejetée pour le surplus.</w:t>
      </w:r>
    </w:p>
    <w:p>
      <w:r>
        <w:rPr>
          <w:b/>
        </w:rPr>
        <w:t>E. 2</w:t>
      </w:r>
    </w:p>
    <w:p>
      <w:r>
        <w:t>Par acte du 15 février 2019, A.A.________ exerce un recours en matière civile au Tribunal fédéral, tendant au rejet de la requête de suspension du caractère exécutoire des ch. 2 et 3 du dispositif du jugement de mesures protectrices de l'union conjugale du 28 novembre 2018. Par ordonnance du 19 février 2019, le Président de la IIe Cour de droit civil a imparti au recourant un délai au 6 mars 2019 pour verser une avance de frais de 1'500 fr. Cette avance de frais a été versée le 25 février 2019. Par courrier du 21 juin 2019, le recourant déclare retirer son recours, au motif qu'il serait devenu sans objet grâce au départ de l'intimée du domicile conjugal.</w:t>
      </w:r>
    </w:p>
    <w:p>
      <w:r>
        <w:rPr>
          <w:b/>
        </w:rPr>
        <w:t>E. 3</w:t>
      </w:r>
    </w:p>
    <w:p>
      <w:r>
        <w:t>Il convient de prendre acte du retrait du recours et de rayer la cause 5A_139/2019 du rôle ( art. 73 PCF par renvoi de l' art. 71 LTF ; art. 32 al. 2 LTF ). A cet effet, le Président de la cour est compétent, en vertu de l' art. 32 al. 1 et 2 LTF . 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certes intervenu plusieurs mois après le versement de l'avance de frais, mais le dossier de la cause a dû être renvoyé à l'autorité cantonale courant mai 2019, en sorte que l'instruction de la cause 5A_139/2019 n'était pas trop avancée. Dans ces circonstances, il sied de mettre à la charge du recourant des frais judiciaires très réduits, à hauteur de 200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