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138/2023 vom 1. März 2023</w:t>
      </w:r>
    </w:p>
    <w:p>
      <w:r>
        <w:t>Bundesgericht, 2023-03-01, DE</w:t>
      </w:r>
    </w:p>
    <w:p>
      <w:r>
        <w:rPr>
          <w:b/>
        </w:rPr>
        <w:t xml:space="preserve">Quelle: </w:t>
      </w:r>
      <w:r>
        <w:t>https://mcp.opencaselaw.ch/entscheid/bger_5A_138_2023</w:t>
      </w:r>
    </w:p>
    <w:p>
      <w:r>
        <w:t>FR: TF 5A 138/2023 du 1 mars 2023</w:t>
      </w:r>
    </w:p>
    <w:p>
      <w:r>
        <w:t>IT: TF 5A 138/2023 del 1 marzo 2023</w:t>
      </w:r>
    </w:p>
    <w:p>
      <w:pPr>
        <w:pStyle w:val="Heading2"/>
      </w:pPr>
      <w:r>
        <w:t>Regeste</w:t>
      </w:r>
    </w:p>
    <w:p>
      <w:r>
        <w:t>Beanstandungen / Forderungen gegenüber KESB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Was sodann das kantonale Verfahren anbelangt, ist zu beachten, dass im Bereich des Kindes- und Erwachsenenschutzes aufgrund des zuteilenden Vorbehaltes in Art. 450f ZGB das Prozessrecht (abgesehen von wenigen hier nicht interessierenden bundesrechtlichen Normen) kantonal geregelt ist und kantonales Recht vom Bundesgericht nur auf substanziierte Verfassungsrügen hin überprüft werden kann; dies gilt selbst dann, wenn die schweizerische Zivilprozessordnung als subsidiäres kantonales Recht zur Anwendung gelangt, wobei hier die Rüge im Vordergrund steht, dieses sei willkürlich angewandt worden ( BGE 140 III 385 E. 2.3).</w:t>
      </w:r>
    </w:p>
    <w:p>
      <w:r>
        <w:rPr>
          <w:b/>
        </w:rPr>
        <w:t>E. 2</w:t>
      </w:r>
    </w:p>
    <w:p>
      <w:r>
        <w:t>Vorliegend hat das Kantonsgericht in Zweifel gezogen, ob berufungsweise überhaupt hinreichende Rechtsbegehren gestellt worden sind, welche zum Urteil erhoben werden könnten, diese Frage aber offen gelassen, weil selbst die für Laieneingaben herabgesetzten Begründungsanforderungen nicht erreicht seien, indem es an jeglicher Auseinandersetzung mit den ausführlichen Erwägungen im bezirksgerichtlichen Urteil zur fehlenden sachlichen Zuständigkeit fehle. In einer subsidiären materiellen Begründung hat das Kantonsgericht festgehalten, dass die bezirksgerichtlichen Erwägungen zutreffen würden und das Bezirksgericht zur Beurteilung der auf Reparation in Form eines schriftlichen Dementi von Äusserungen und Mitteilungen der KESB an andere Behörden gerichteten Rechtsbegehren unzuständig gewesen sei. Mit dieser Begründung setzt sich der Beschwerdeführer nicht in sachgerichteter Weise auseinander; er beschränkt sich auf die Behauptung zur Sache selbst, er benötige einen Rechtspruch, welcher die KESB dazu zwinge, ihre falschen und verleumderischen Aussagen zu berichtigen, und lässt dieser weitschweifige Ausführungen zu den angeblichen Verleumdungen durch die KESB folgen, wonach diese gegenüber den spanischen Behörden von in der Schweiz erfolgten Kindesschutzmassnahmen und einer Einschränkung des Sorgerechts gesprochen habe. Insofern bleibt die Beschwerde im Hauptpunkt unbegründet. Offenbar auf die im angefochtenen Entscheid erfolgte Abweisung des Gesuches um unentgeltliche Rechtspflege beziehen sich sodann die etwas wirren Ausführungen, wonach die Gerichte sich nicht komplett über sämtliche Regeln des Vertragsabschlussrechts hinwegsetzen dürften und das Kantonsgericht sich wie ein Verkäufer verhalten habe, welcher dem noch nicht entschlossenen Kunden als Käufer in spe eines Fernsehers kurzerhand in Abwesenheit den Fernseher samt Rechnung vor die Tür stelle und dann auf Zahlung der Rechnung bestehe. Der Beschwerdeführer will damit zum Ausdruck bringen, das Kantonsgericht hätte vorab über die unentgeltliche Rechtspflege entscheiden müssen, um ihm zu ermöglichen, vor dem Hintergrund dieses Entscheides bzw. in Kenntnis der Prozesschancen über das weitere Vorgehen im Rechtsmittelverfahren zu entscheiden. Abgesehen davon, dass der Beschwerdeführer in Widerspruch dazu festhält, er habe in allen Instanzen sehr klar definiert, was er erwarte, nämlich einen Rechtsspruch, welcher die KESB verpflichte, ihre Verleumdungen zurückzuziehen, müsste er nach dem in E. 1 Gesagten aufzeigen, gegen welche verfassungsmässigen Rechte und inwiefern das Kantonsgericht gegen diese verstossen haben soll, wenn es sogleich über das Rechtsmittel entschieden und das Gesuch um unentgeltliche Rechtspflege wegen offensichtlicher Aussichtslosigkeit des Rechtsmittels abgewiesen hat.</w:t>
      </w:r>
    </w:p>
    <w:p>
      <w:r>
        <w:rPr>
          <w:b/>
        </w:rPr>
        <w:t>E. 3</w:t>
      </w:r>
    </w:p>
    <w:p>
      <w:r>
        <w:t>Nach dem Gesagten erweist sich die Beschwerde als offensichtlich nicht hinreichend begründet, weshalb auf sie nicht eingetreten werden kann und der Präsident im vereinfachten Verfahren entscheidet ( Art. 108 Abs. 1 lit. b BGG ). Mit dem Entscheid in der Sache ist das Gesuch um aufschiebende Wirkung gegenstandslos.</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Für Nichteintretensentscheide werden reduzierte Gerichtskosten erhoben, und zwar vorliegend in der Höhe, wie sie ohnehin auch für einen vorgängig erfolgten Entscheid über die Frage der unentgeltlichen Rechtspflege erhoben worden wären. Ausgangsgemäss ist hierfür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