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137/2020 vom 23. Juni 2020</w:t>
      </w:r>
    </w:p>
    <w:p>
      <w:r>
        <w:t>Bundesgericht, 2020-06-23, DE</w:t>
      </w:r>
    </w:p>
    <w:p>
      <w:r>
        <w:rPr>
          <w:b/>
        </w:rPr>
        <w:t xml:space="preserve">Quelle: </w:t>
      </w:r>
      <w:r>
        <w:t>https://mcp.opencaselaw.ch/entscheid/bger_5A_137_2020</w:t>
      </w:r>
    </w:p>
    <w:p>
      <w:r>
        <w:t>FR: TF 5A 137/2020 du 23 juin 2020</w:t>
      </w:r>
    </w:p>
    <w:p>
      <w:r>
        <w:t>IT: TF 5A 137/2020 del 23 giugno 2020</w:t>
      </w:r>
    </w:p>
    <w:p>
      <w:pPr>
        <w:pStyle w:val="Heading2"/>
      </w:pPr>
      <w:r>
        <w:t>Regeste</w:t>
      </w:r>
    </w:p>
    <w:p>
      <w:r>
        <w:t>Definitive Rechtsöffnung (Rechtsmittelbelehrung, Konversion des Rechtsmittels) | Schuldbetreibungs- und Konkursrecht</w:t>
      </w:r>
    </w:p>
    <w:p>
      <w:pPr>
        <w:pStyle w:val="Heading2"/>
      </w:pPr>
      <w:r>
        <w:t>Erwägungen</w:t>
      </w:r>
    </w:p>
    <w:p>
      <w:r>
        <w:rPr>
          <w:b/>
        </w:rPr>
        <w:t>E. 1</w:t>
      </w:r>
    </w:p>
    <w:p>
      <w:r>
        <w:t>Angefochten ist ein kantonal letztinstanzlicher Rechtsöffnungsentscheid mit Fr. 30'000.-- übersteigendem Streitwert; die Beschwerde in Zivilsachen steht offen ( Art. 72 Abs. 2 lit. a, Art. 74 Abs. 1 lit. b und Art. 75 Abs. 1 BGG ). 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142 III 364 E. 2.4). Weil die Vorinstanz auf das Rechtsmittel der Beschwerdeführerin nicht eingetreten ist, bildet grundsätzlich nur die Frage Streitgegenstand, ob die Vorinstanz zu Recht einen Nichteintretensentscheid gefällt hat ( BGE 135 II 38 E. 1.2).</w:t>
      </w:r>
    </w:p>
    <w:p>
      <w:r>
        <w:rPr>
          <w:b/>
        </w:rPr>
        <w:t>E. 2.1</w:t>
      </w:r>
    </w:p>
    <w:p>
      <w:r>
        <w:t>Die Erstinstanz hat ihren Entscheid mit einer unrichtigen Rechtsmittelbelehrung versehen, da darin irrtümlich das Rechtsmittel der Berufung statt das Rechtsmittel der Beschwerde genannt wurde. Zutreffend hat sie demgegenüber auf die kurze zehntägige Rechtsmittelfrist hingewiesen. Das Obergericht hat das Vertrauen der anwaltlich vertretenen Beschwerdeführerin in die Richtigkeit der Rechtsmittelbelehrung nicht geschützt.</w:t>
      </w:r>
    </w:p>
    <w:p>
      <w:r>
        <w:rPr>
          <w:b/>
        </w:rPr>
        <w:t>E. 2.2</w:t>
      </w:r>
    </w:p>
    <w:p>
      <w:r>
        <w:t>Die Beschwerdeführerin wirft dem Obergericht eine Verletzung des Vertrauensprinzips vor. Die Rechtsmittelbelehrung sei nicht derart exotisch gewesen, dass man den Fehler hätte erkennen müssen. Es könne ihrem Rechtsvertreter weder einfache noch grobe Unsorgfalt unterstellt werden. Innert der kurzen Rechtsmittelfrist habe dieser keine Abklärungen vornehmen müssen, ob die Rechtsmittelbelehrung zutreffend sei. Alles andere sei eine willkürliche Betrachtungsweise.</w:t>
      </w:r>
    </w:p>
    <w:p>
      <w:r>
        <w:rPr>
          <w:b/>
        </w:rPr>
        <w:t>E. 2.3</w:t>
      </w:r>
    </w:p>
    <w:p>
      <w:r>
        <w:t>Aus einer unrichtigen Rechtsmittelbelehrung dürfen den Parteien keine Nachteile erwachsen. Eine Partei ist freilich nur dann geschützt, wenn sie sich nach Treu und Glauben ( Art. 5 Abs. 3 und Art. 9 BV )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 BGE 135 III 374 E. 1.2.2.1). Wann eine grobe prozessuale Unsorgfalt vorliegt, beurteilt sich nach den konkreten Umständen und den Rechtskenntnissen der betreffenden Person. Die gegenüber Anwälten gestellten Anforderungen sind naturgemäss erhöht. Von Anwälten wird in jedem Fall verlangt, die Rechtsmittelbelehrung einer Grobkontrolle zu unterziehen und die einschlägigen Gesetzestexte zu konsultieren; es liegt eine grobe Sorgfaltswidrigkeit vor, wenn sich die Fehlerhaftigkeit bereits aus dem Wortlaut des Gesetzes ergibt ( BGE 138 I 49 E. 8.3.2; 141 III 270 E. 3; 143 V 66 E. 4.3; Urteil 8C_122/2013 vom 7. Mai 2013 E. 4). So verhält es sich im vorliegenden Fall. Dass Rechtsöffnungsentscheide streitwertunabhängig ausschliesslich mit Beschwerde nach Art. 319 ff. ZPO anfechtbar sind, ergibt sich unmittelbar aus dem Wortlaut der massgeblichen Verfahrensbestimmungen der ZPO (s. Art. 309 lit. b Ziff. 3 und Art. 319 lit. a ZPO ). Die Rüge der Verletzung des Vertrauensprinzips erweist sich daher als unbegründet.</w:t>
      </w:r>
    </w:p>
    <w:p>
      <w:r>
        <w:rPr>
          <w:b/>
        </w:rPr>
        <w:t>E. 2.4</w:t>
      </w:r>
    </w:p>
    <w:p>
      <w:r>
        <w:t>Die Vorinstanz hat geprüft, ob die als Berufung bezeichnete Eingabe der Beschwerdeführerin vom 9. Dezember 2019 als Beschwerde entgegengenommen werden kann und die Voraussetzungen dazu als nicht gegeben erachtet. Zwar habe die Beschwerdeführerin den erstinstanzlich festgestellten Sachverhalt kritisiert, sie habe jedoch gänzlich Ausführungen dazu vermissen lassen, inwiefern der Sachverhalt von der Erstinstanz offensichtlich unrichtig im Sinne von Art. 320 lit. b ZPO festgestellt worden sei. Mit dieser Begründung setzt sich die Beschwerdeführerin nicht auseinander. Da sie nicht ansatzweise darlegt, dass die Eingabe vom 9. Dezember 2019 den gesetzlichen Anforderungen an eine Beschwerde gemäss Art. 319 ff. ZPO genügt hätte, kann auf die Beschwerde in Zivilsachen in diesem Punkt mangels hinreichender Begründung nicht eingetreten werden ( Art. 42 Abs. 2 BGG ).</w:t>
      </w:r>
    </w:p>
    <w:p>
      <w:r>
        <w:rPr>
          <w:b/>
        </w:rPr>
        <w:t>E. 3</w:t>
      </w:r>
    </w:p>
    <w:p>
      <w:r>
        <w:t>Aus den dargelegten Gründen ist die Beschwerde abzuweisen, soweit darauf einzutreten ist. Ausgangsgemäss sind die Gerichtskosten der Beschwerdeführerin aufzuerlegen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