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5A_135/2023 vom 21. Februar 2023</w:t>
      </w:r>
    </w:p>
    <w:p>
      <w:r>
        <w:t>Bundesgericht, 2023-02-21, DE</w:t>
      </w:r>
    </w:p>
    <w:p>
      <w:r>
        <w:rPr>
          <w:b/>
        </w:rPr>
        <w:t xml:space="preserve">Quelle: </w:t>
      </w:r>
      <w:r>
        <w:t>https://mcp.opencaselaw.ch/entscheid/bger_5A_135_2023</w:t>
      </w:r>
    </w:p>
    <w:p>
      <w:r>
        <w:t>FR: TF 5A_135/2023 du 21 février 2023</w:t>
      </w:r>
    </w:p>
    <w:p>
      <w:r>
        <w:t>IT: TF 5A_135/2023 del 21 febbraio 2023</w:t>
      </w:r>
    </w:p>
    <w:p>
      <w:pPr>
        <w:pStyle w:val="Heading2"/>
      </w:pPr>
      <w:r>
        <w:t>Erwägungen</w:t>
      </w:r>
    </w:p>
    <w:p>
      <w:r>
        <w:rPr>
          <w:b/>
        </w:rPr>
        <w:t>E. 1</w:t>
      </w:r>
    </w:p>
    <w:p>
      <w:r>
        <w:t>Angefochten ist ein kantonal letztinstanzlicher Zwischenentscheid, der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 In der Sache selbst ist sodann zu beachten, dass die Vorinstanz auf das Rechtsmittel der Beschwerdeführerin nicht eingetreten ist und sich deshalb der mögliche Anfechtungsgegenstand auf die Frage beschränkt,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unstrukturierte und inhaltlich nur schwer verständliche Beschwerde genügt diesen Begründungsanforderungen nicht. Zum grösseren Teil besteht sie aus Polemik gegenüber der früheren Rechtsvertreterin bzw. der Beiständin der Beschwerdegegnerin 1 sowie aus einer Verfahrensschelte, wobei sich die Vorwürfe auf mannigfaltige Verfahrensschritte der vergangenen Jahre beziehen. Diese und ebenso die damit zusammenhängenden Gehörsrügen liegen ausserhalb des Anfechtungsgegenstandes, weshalb darauf von vornherein nicht einzutreten ist. Ebenso wenig ist auf die appellatorische Sachverhaltsschilderung aus eigener Sicht einzugehen, weil die Sachverhaltsfeststellungen im angefochtenen Entscheid für das Bundesgericht verbindlich sind ( Art. 105 Abs. 1 BGG ) und diesbezüglich nur substanziierte Willkürrügen möglich wären, für welche das strenge Rügeprinzip gilt ( Art. 97 Abs. 1 und Art. 106 Abs. 2 BGG ; BGE 142 III 364 E. 2.4; 144 V 50 E. 4.2; 145 II 32 E. 2.1).</w:t>
      </w:r>
    </w:p>
    <w:p>
      <w:r>
        <w:t>Im Übrigen tut die Beschwerdeführerin für das bundesgerichtliche Verfahren keine nicht wieder gutzumachenden Nachteile im Sinn von Art. 93 Abs. 1 lit. a BGG dar und sie setzt sich auch in der Sache selbst nicht in einer kohärenten und nachvollziehbaren Weise mit den Nichteintretenserwägungen im angefochtenen Entscheid auseinander, wenn sie sinngemäss moniert, das Bezirksgericht habe sie vor vollendete Tatsachen gestellt, und wenn sie in abstrakter Weise behauptet, das Obergericht sei gehörsverletzend nicht auf ihre beschwerdeweise angeführten Argumente eingegangen. Dieses hat seinen Nichteintretensentscheid zusammengefasst damit begründet, dass kein nicht leicht wieder gutzumachender Nachteil vorliege; ein solcher könne weder in den bereits angefallenen Kosten von Fr. 20'000.-- noch im Verzicht auf die Durchführung eines Beweisverfahrens gesehen werden, weil diese Rügen bzw. die diesbezüglichen Gehörsrügen auch im Rahmen eines Rechtsmittels gegen den Endentscheid vorgebracht werden könnten. Inwiefern dies nicht der Fall sein und deshalb mit dem obergerichtlichen Nichteintreten eine Rechtsverletzung vorliegen soll, wird nicht dargetan.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