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5A_134/2017 vom 5. Mai 2017</w:t>
      </w:r>
    </w:p>
    <w:p>
      <w:r>
        <w:t>Bundesgericht, 2017-05-05, FR</w:t>
      </w:r>
    </w:p>
    <w:p>
      <w:r>
        <w:rPr>
          <w:b/>
        </w:rPr>
        <w:t xml:space="preserve">Quelle: </w:t>
      </w:r>
      <w:r>
        <w:t>https://mcp.opencaselaw.ch/entscheid/bger_5A_134_2017</w:t>
      </w:r>
    </w:p>
    <w:p>
      <w:r>
        <w:t>FR: TF 5A_134/2017 du 5 mai 2017</w:t>
      </w:r>
    </w:p>
    <w:p>
      <w:r>
        <w:t>IT: TF 5A_134/2017 del 5 maggio 2017</w:t>
      </w:r>
    </w:p>
    <w:p>
      <w:pPr>
        <w:pStyle w:val="Heading2"/>
      </w:pPr>
      <w:r>
        <w:t>Erwägungen</w:t>
      </w:r>
    </w:p>
    <w:p>
      <w:r>
        <w:rPr>
          <w:b/>
        </w:rPr>
        <w:t>E. 1.1</w:t>
      </w:r>
    </w:p>
    <w:p>
      <w:r>
        <w:t>La décision querellée constitue une décision incidente visée par l' art. 93 al. 1 LTF dès lors que, portant sur l'effet suspensif ( art. 36 LP ), elle ne conduit pas à la clôture définitive de l'instance ( ATF 137 III 475 consid. 1; 134 II 192 consid. 1.3; arrêt 5A_187/2012 du 18 juin 2012 consid. 1.1).</w:t>
      </w:r>
    </w:p>
    <w:p>
      <w:r>
        <w:t>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La pratique du Tribunal fédéral est d'entrer en matière sur un recours dirigé contre un refus d'effet suspensif contre une décision d'exécution forcée (arrêts 5A_1026/2015 du 8 mars 2016 consid. 1.1; 5A_968/2015 du 7 mars 2016 consid. 1; 5A_518/2015 du 7 septembre 2015 consid. 1.1; LEVANTE, in Basler Kommentar, SchKG I, 2</w:t>
      </w:r>
    </w:p>
    <w:p>
      <w:r>
        <w:t>ème éd., 2010, n° 30 ad art. 19 LP ).</w:t>
      </w:r>
    </w:p>
    <w:p>
      <w:r>
        <w:rPr>
          <w:b/>
        </w:rPr>
        <w:t>E. 1.2</w:t>
      </w:r>
    </w:p>
    <w:p>
      <w:r>
        <w:t>Le recours contre une décision incidente est soumis à la même voie de droit que celle qui est ouverte contre la décision principale (arrêts 5A_219/2015 du 3 juin 2015 consid. 1.1; 5A_419/2014 du 9 octobre 2014 consid. 1.2 et les références). En l'occurrence, il s'agit d'une décision prise dans le cadre d'une procédure de plainte ( art. 17 LP ), soit en matière de poursuite pour dettes et de faillite ( art. 72 al. 2 let. a LTF ). Elle est donc susceptible du recours en matière civile, sans égard à la valeur litigieuse ( art. 74 al. 2 let . c LTF). Le recours a en outre été interjeté dans le délai ( art. 100 al. 2 let. a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 au regard des dispositions qui précèdent.</w:t>
      </w:r>
    </w:p>
    <w:p>
      <w:r>
        <w:rPr>
          <w:b/>
        </w:rPr>
        <w:t>E. 2.1</w:t>
      </w:r>
    </w:p>
    <w:p>
      <w:r>
        <w:t>La décision portant sur l'effet suspensif est une mesure provisionnelle au sens de l' art. 98 LTF ( ATF 137 III 475 consid. 2). Seule peut donc être invoquée la violation des droits constitutionnels et le Tribunal fédéral dispose d'un pouvoir d'examen limité aux griefs d'ordre constitutionnel invoqués et motivés conformément à l' art. 106 al. 2 LTF , à savoir expressément soulevés et exposés de manière claire et détaillée (" principe d'allégation "). La partie recourante doit ainsi indiquer quelle disposition constitutionnelle ou légale a été violée et démontrer, par une argumentation précise, en quoi consiste la violation ( ATF 139 I 229 consid. 2.2; 137 II 305 consid. 3.3; 135 III 232 consid. 1.2, 397 consid. 1.4</w:t>
      </w:r>
    </w:p>
    <w:p>
      <w:r>
        <w:t>in fine ). Le grief doit être développé dans le recours même, un simple renvoi à d'autres écritures ou à des pièces n'étant pas admissible ( ATF 134 II 244 consid. 2.1-2.3; 133 II 396 consid. 3.1 et la jurisprudence citée; arrêt 4A_593/2015 du 13 décembre 2016 consid. 2.3). Les critiques de nature appellatoire sont irrecevables ( ATF 140 III 264 consid. 2.3; 139 II 404 consid. 10.1 et les références). Les mêmes exigences de motivation pèsent sur l'intimé ( ATF 140 III 86 consid. 2 et les arrêts cités).</w:t>
      </w:r>
    </w:p>
    <w:p>
      <w:r>
        <w:rPr>
          <w:b/>
        </w:rPr>
        <w:t>E. 2.2</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 En l'espèce, l'état de fait a été complété d'office sur la base du dossier cantonal ( art. 105 al. 2 LTF ).</w:t>
      </w:r>
    </w:p>
    <w:p>
      <w:r>
        <w:t>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par le recourant ( ATF 135 III 397 consid. 1.4</w:t>
      </w:r>
    </w:p>
    <w:p>
      <w:r>
        <w:t>in fine ; 133 II 249 consid. 1.4.2). Pour le surplus, les faits et moyens de preuve nouveaux sont prohibés, à moins de résulter de la décision de l'autorité précédente ( art. 99 al. 1 LTF ; ATF 135 I 221 consid. 5.2.4; 133 IV 342 consid. 2.1).</w:t>
      </w:r>
    </w:p>
    <w:p>
      <w:r>
        <w:rPr>
          <w:b/>
        </w:rPr>
        <w:t>E. 3</w:t>
      </w:r>
    </w:p>
    <w:p>
      <w:r>
        <w:t>La recourante invoque à la fois la constatation arbitraire des faits, un abus par l'autorité cantonale de son pouvoir d'appréciation, la violation de son droit d'être entendue ( art. 29 al. 2 Cst. ), et la violation arbitraire des art. 17 et 36 LP .</w:t>
      </w:r>
    </w:p>
    <w:p>
      <w:r>
        <w:rPr>
          <w:b/>
        </w:rPr>
        <w:t>E. 3.1</w:t>
      </w:r>
    </w:p>
    <w:p>
      <w:r>
        <w:t>La Chambre de surveillance a rappelé que, pour prendre sa décision, elle devait examiner</w:t>
      </w:r>
    </w:p>
    <w:p>
      <w:r>
        <w:t>prima facie les pièces du dossier et comparer les intérêts qui s'opposent, soit, notamment, celui de la recourante à échapper pendant la procédure de plainte aux effets de la décision attaquée et celui de l'Office à l'établissement immédiat d'une situation conforme à la solution qu'il a adoptée. Elle a relevé qu'en l'espèce, la recourante connaissait, contrairement à ce qu'elle soutenait, l'identité de la créancière séquestrante, comme cela ressortait de son courrier du 28 juillet 2016. La recourante avait en outre indiqué dans ce même courrier, répondant à l'interrogation de l'Office sur la nature et la valeur de son éventuel droit de gage, qu'elle n'en faisait pas valoir à ce stade dans le cadre des séquestre nos bbbb et ffff, position qu'elle avait confirmée dans son courrier du 17 novembre 2016. Par ailleurs, la créancière séquestrante, qui avait conclu au rejet de la plainte, ne demandait nullement que l'Office examine son éventuel droit de gage, de sorte que la recourante ne pouvait justifier son refus d'obtempérer à la décision querellée par la nécessité de respecter un droit que l'intéressée elle-même n'invoquait pas. Enfin, il n'était pas allégué que les procédures de révision encore pendantes dirigées contre les sentences arbitrales étaient assorties de l'effet suspensif. Au vu de ces divers éléments, la Chambre de surveillance a considéré que les chances de succès de la plainte paraissaient,</w:t>
      </w:r>
    </w:p>
    <w:p>
      <w:r>
        <w:t>prima facie et sans préjudice de l'examen au fond, faibles. Partant, elle a retenu que, dans la pesée des intérêts, celui de l'Office et de la créancière séquestrante à l'établissement immédiat d'une solution conforme au droit l'emportait sur celui de la recourante à échapper aux effets de la décision attaquée. Elle a en conséquence rejeté la requête d'effet suspensif.</w:t>
      </w:r>
    </w:p>
    <w:p>
      <w:r>
        <w:rPr>
          <w:b/>
        </w:rPr>
        <w:t>E. 3.2</w:t>
      </w:r>
    </w:p>
    <w:p>
      <w:r>
        <w:t>La recourante reproche notamment à la Chambre de surveillance d'avoir arbitrairement omis de tenir compte du fait qu'elle avait dûment annoncé par courrier du 11 novembre 2013 adressé à l'Office, pièces à l'appui, qu'elle était au bénéfice de droits de gage sur les avoirs séquestrés et que l'Office aurait par conséquent dû engager la phase préliminaire de la procédure de revendication. La Chambre de surveillance avait laissé entendre qu'elle n'avait jamais donné d'indications détaillées au sujet de ses droits de gage auxquels elle n'avait fait référence que de manière incidente dans son ordonnance. Or, l'existence des droits de gage litigieux ressortait clairement des pièces annexées au courrier du 11 novembre 2013, à savoir cinq actes de nantissement intitulés " General Pledge and Assignment " ainsi qu'un exemplaire des conditions générales de la banque.</w:t>
      </w:r>
    </w:p>
    <w:p>
      <w:r>
        <w:t>Selon la recourante, la Chambre de surveillance avait également retenu de manière arbitraire qu'il ressortait du courrier du 28 juillet 2016 qu'elle avait adressé à l'Office qu'elle ne faisait valoir aucun droit de gage dans le cadre des séquestres n</w:t>
      </w:r>
    </w:p>
    <w:p>
      <w:r>
        <w:t>os bbbb et ffff, alors qu'il ressortait au contraire expressément dudit courrier qu'elle entendait maintenir ses droits de gage et se réservait de les faire valoir jusqu'à la distribution des deniers. L'autorité cantonale avait manifestement confondu les notions de droit de gage et de créance garantie par gage. Si, au moment où elle avait écrit son courrier du 28 juillet 2016, elle n'avait en effet pas de créances susceptibles d'être garanties par les droits de gage qu'elle détenait sur l'avoir bancaire séquestré, elle n'en avait pas pour autant perdu le bénéfice desdits droits de gage. C'était donc de manière arbitraire et en constatant les faits de manière contraire au texte clair de la pièce en question que la Chambre de surveillance avait considéré qu'elle renonçait à faire valoir ses droits de gage.</w:t>
      </w:r>
    </w:p>
    <w:p>
      <w:r>
        <w:t>L'autorité cantonale avait au surplus omis de tenir compte du fait que l'Office avait, par courrier du 30 novembre 2015, pris acte des droits de gage annoncés et laissé entendre qu'il allait ouvrir les délais de contestation. L'Office avait ainsi à tout le moins initialement eu l'intention d'engager la phase préliminaire de la procédure de revendication en ouvrant les délais de contestation de revendication de ses droits de gage avant d'y renoncer, sans l'avertir et alors même qu'il ne disposait d'aucune marge de manoeuvre pour ce faire. Selon la recourante, cet élément démontre que l'Office s'estimait suffisamment renseigné sur les droits de gage qu'elle avait annoncés et qu'il n'attendait que l'issue de la procédure de revendication pendante initiée par A.________ pour engager la phase préliminaire concernant sa propre revendication. Dans l'ordonnance attaquée, la Chambre de surveillance avait ainsi omis certains faits déterminants pour ne retenir que ceux qui permettaient de fonder son refus d'octroyer l'effet suspensif. Ce faisant, elle avait versé dans l'arbitraire.</w:t>
      </w:r>
    </w:p>
    <w:p>
      <w:r>
        <w:t>Sa plainte se fondait ainsi sur des motifs sérieux et légitimes, à savoir qu'elle avait annoncé ses droits de gage de manière motivée en 2013 et n'avait depuis cessé de les rappeler dans ses échanges avec l'Office. La procédure de revendication prévue aux art. 106 ss LP ne laissait en outre aucune marge de manoeuvre à l'Office qui devait l'engager dès qu'un tiers annonçait son droit et n'avait pas à se prononcer sur la réalité et la portée du droit de gage, cette compétence revenant au juge du fond. Sauf à verser dans l'arbitraire dans l'application de l'art. 36 en lien avec l' art. 17 LP , la Chambre de surveillance ne pouvait donc rejeter, comme elle l'avait fait, sa requête d'effet suspensif au seul motif que les chances de succès de la plainte étaient faibles sans même examiner et comparer les intérêts en présence et en particulier sans tenir compte du fait qu'elle perdrait notamment le bénéfice de ses droits de gage sur un avoir de quelque xx'xxx'xxx de francs si la décision objet de sa plainte devait être exécutée immédiatement.</w:t>
      </w:r>
    </w:p>
    <w:p>
      <w:r>
        <w:rPr>
          <w:b/>
        </w:rPr>
        <w:t>E. 3.3</w:t>
      </w:r>
    </w:p>
    <w:p>
      <w:r>
        <w:t>L'octroi ou le refus de l'effet suspensif selon l' art. 36 LP relève du pouvoir d'appréciation de l'autorité cantonale de surveillance ( ATF 100 III 11 et les références). La décision dépend d'une pesée des intérêts entre la continuation de la procédure d'exécution et le maintien des choses telles qu'elles existaient avant que la décision attaquée ne soit rendue (arrêt 5A_968/2015 du 7 mars 2016 consid. 3.1 et les références). Dans ce domaine, le Tribunal fédéral n'intervient qu'en cas d'abus ou d'excès du pouvoir d'appréciation, par exemple lorsque l'autorité cantonale a retenu des critères inappropriés ou n'a, au contraire, pas tenu compte de circonstances pertinentes ( ATF 134 III 323 consid. 2; 132 III 281 consid. 2.1; 130 III 90 consid. 1 et les références; arrêt 5A_720/2010 du 14 janvier 2011 consid. 2.1).</w:t>
      </w:r>
    </w:p>
    <w:p>
      <w:r>
        <w:t>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(arrêt 5A_1026/2015 du 8 mars 2016 consid. 4.2 et les références).</w:t>
      </w:r>
    </w:p>
    <w:p>
      <w:r>
        <w:rPr>
          <w:b/>
        </w:rPr>
        <w:t>E. 3.4</w:t>
      </w:r>
    </w:p>
    <w:p>
      <w:r>
        <w:t>En l'espèce, il convient de rappeler que la recourante a formé la requête d'effet suspensif litigieuse dans le cadre d'une plainte contre la décision de l'Office lui intimant de convertir en francs suisses le montant de xx'xxx'xxx.xx USD déposé sur les comptes visés par les deux séquestres et de le lui transférer. Dans cette plainte, elle a également requis l'Office de donner suite aux revendications qu'elle avait annoncées, en ce qui concernait tant les droits de gage revendiqués par elle-même, à savoir ses droits de gage sur la totalité des avoirs bancaires déposés sur les comptes n</w:t>
      </w:r>
    </w:p>
    <w:p>
      <w:r>
        <w:t>os eeee et hhhh, que le droit de gage de B.________ sur les avoirs bancaires déposés sur le compte n° eeee à concurrence d'un montant maximal de xx'xxx'xxx USD selon l'accord " Undertakings and Instructions " et d'ouvrir en conséquence les délais de contestation des revendications.</w:t>
      </w:r>
    </w:p>
    <w:p>
      <w:r>
        <w:t>Dans la mesure où l'octroi de l'effet suspensif a pour but de maintenir les choses en l'état durant la procédure dans l'attente de l'issue de celle-ci afin de parer au risque de rendre inopérante la décision à rendre par l'autorité de surveillance qui annulerait ou modifierait la mesure attaquée, il apparaît que les critiques de la recourante sont fondées. L'autorité cantonale doit en effet procéder à une pesée des intérêts en présence et peut, certes, comme elle l'a fait dans le cas présent, rejeter la requête d'effet suspensif lorsque celle-ci a été formée dans le cadre d'une plainte qu'elle estime dénuée de chances de succès. Il ressort toutefois en l'espèce du dossier cantonal que la recourante a informé l'Office, par courrier du 11 novembre 2013, qu'elle bénéficiait de droits de gage sur les avoirs détenus auprès d'elle par A.________ et C.________, ce dont attestent les pièces annexées audit courrier, à savoir cinq actes de nantissement intitulés " General Pledge and Assignment " ainsi qu'un exemplaire des conditions générales de la banque. Il apparaît en outre que la décision querellée repose sur une compréhension erronée d'un courrier adressé le 28 juillet 2016 par la recourante à l'Office qui n'a été reproduit que partiellement dans dite décision. S'il ressort effectivement dudit courrier que la recourante déclarait ne pas avoir en l'état de prétentions garanties par les droits de gage évoqués à faire valoir dans le cadre des procédures de séquestre n</w:t>
      </w:r>
    </w:p>
    <w:p>
      <w:r>
        <w:t>os bbbb et ffff, elle s'est néanmoins expressément réservée la possibilité de faire valoir ses droits de gage jusqu'à la réalisation des avoirs séquestrés, ce que la Chambre de surveillance a arbitrairement omis de mentionner. Cette réserve permet de comprendre à elle seule que la recourante n'entendait pas renoncer définitivement à faire valoir ses droits de gage contrairement à ce qu'a, en définitive, retenu l'autorité cantonale. Au surplus, si l'Office a certes invité la recourante à lui indiquer la nature et la valeur de ses droits de gage, il lui a également fait savoir qu'il jugeait " opportun de ne pas procéder à l'ouverture des délais de contestation (...) avant de connaître le résultat quant au droit de propriété soulevé par [A.________] " dans le cadre du séquestre n° bbbb. Cet élément ne ressort pas de l'état de fait cantonal et rien dans le dossier cantonal ne permet de retenir que l'Office aurait, avant de rendre la décision objet de la plainte, donné suite au courrier subséquent du 22 décembre 2015 par lequel la recourante sollicitait d'être tenue informée dès que la procédure en revendication initiée par A.________ serait close.</w:t>
      </w:r>
    </w:p>
    <w:p>
      <w:r>
        <w:t>Partant, il apparaît que certains éléments nécessaires à la compréhension de la cause n'ont pas été mentionnés dans l'état de fait et que des éléments déterminants pour procéder à la pesée des intérêts en présence n'ont pas été pris en compte par la Chambre de surveillance. Dans ces circonstances, force est de constater que l'autorité cantonale a statué sur la base d'un état de fait incomplet et en omettant des éléments qui auraient impérativement dû être pris en considération, abusant ainsi du pouvoir d'appréciation qui lui est conféré pour statuer sur l'effet suspensif (cf.</w:t>
      </w:r>
    </w:p>
    <w:p>
      <w:r>
        <w:t>supra consid. 3.3). L'argumentation de la Chambre de surveillance basée sur l'absence de chances de succès du recours perd ainsi son fondement puisque les chances de succès d'une cause doivent être appréciées à l'aune et en connaissance de tous les éléments pertinents du dossier. En l'occurrence, les échanges de courriers entre l'Office et la recourante laissent apparaître des contradictions qui nécessitent des éclaircissements. Partant, à l'aune desdits courriers, on ne peut à tout le moins pas considérer d'emblée que la recourante aurait définitivement renoncé à faire valoir ses droits de gage et que sa plainte est manifestement infondée.</w:t>
      </w:r>
    </w:p>
    <w:p>
      <w:r>
        <w:t>Par ailleurs, l'exécution immédiate de la décision à l'origine de la plainte aurait pour effet de vider la cause de son objet puisque les fonds séquestrés sur lesquels la recourante entend faire valoir ses droits de gage devraient alors être libérés et les deniers pourraient être distribués. Dans la mesure où la plainte de la recourante a été arbitrairement considérée comme d'emblée dénuée de chances de succès, ce constat suffit à sceller le sort de la cause sans qu'il soit nécessaire d'examiner les autres arguments de la recourante, en particulier ceux ayant trait aux procédures arbitrales encore pendantes entre les mêmes parties. Il en va de même de la motivation de la Chambre de surveillance relative à la connaissance par la recourante de l'identité de la créancière séquestrante et à l'éventuel droit de gage que cette dernière pourrait faire valoir ainsi que de l'argumentation de B.________ qui soutient que la recourante ne peut faire valoir son droit de gage que pour autant qu'elle bénéficie d'une créance garantie par gage avant la réalisation des deniers, ce qu'elle n'avait pas démontré en l'espèce. Ces questions n'ont en effet pas à être examinées à ce stade de la procédure (cf. sur les différentes phases de la procédure de revendication: JEAN-LUC TSCHUMY, in Commentaire romand, Poursuite et faillite, 2005, n° 9 ad Intro. art. 106 à 109 LP; en ce sens également: arrêts 5A_294/2013 du 23 octobre 2013 consid. 2.2, publié in SJ 2014 I 135; 5A_925/2012 du 5 avril 2013 consid. 4). L'argumentation de l'Office ne peut pas davantage être prise en compte dans la mesure où ce dernier se contente de renvoyer de manière irrecevable à des écritures cantonales (cf.</w:t>
      </w:r>
    </w:p>
    <w:p>
      <w:r>
        <w:t>supra consid. 2.1). Dans ces circonstances, il se justifie d'admettre le présent recours et de réformer la décision attaquée en ce sens que l'effet suspensif est octroyé à la plainte formée le 19 janvier 2017 par E.________ contre la décision de l'Office du 6 janvier 2017, notifiée le 9 janvier 2017.</w:t>
      </w:r>
    </w:p>
    <w:p>
      <w:r>
        <w:rPr>
          <w:b/>
        </w:rPr>
        <w:t>E. 4</w:t>
      </w:r>
    </w:p>
    <w:p>
      <w:r>
        <w:t>Au vu de ce qui précède, le recours, bien fondé, doit être admis et l'arrêt attaqué réformé dans le sens susvisé. B.________, qui succombe, supportera les frais et dépens de la présente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