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5A_132/2020 vom 28. April 2020</w:t>
      </w:r>
    </w:p>
    <w:p>
      <w:r>
        <w:t>Bundesgericht, 2020-04-28, DE</w:t>
      </w:r>
    </w:p>
    <w:p>
      <w:r>
        <w:rPr>
          <w:b/>
        </w:rPr>
        <w:t xml:space="preserve">Quelle: </w:t>
      </w:r>
      <w:r>
        <w:t>https://mcp.opencaselaw.ch/entscheid/bger_5A_132_2020</w:t>
      </w:r>
    </w:p>
    <w:p>
      <w:r>
        <w:t>FR: TF 5A_132/2020 du 28 avril 2020</w:t>
      </w:r>
    </w:p>
    <w:p>
      <w:r>
        <w:t>IT: TF 5A_132/2020 del 28 aprile 2020</w:t>
      </w:r>
    </w:p>
    <w:p>
      <w:pPr>
        <w:pStyle w:val="Heading2"/>
      </w:pPr>
      <w:r>
        <w:t>Erwägungen</w:t>
      </w:r>
    </w:p>
    <w:p>
      <w:r>
        <w:rPr>
          <w:b/>
        </w:rPr>
        <w:t>E. 1.1</w:t>
      </w:r>
    </w:p>
    <w:p>
      <w:r>
        <w:t>Angefochten ist der Kostenpunkt eines Rechtsmittelentscheids, mithin ein blosser Nebenpunkt, weshalb grundsätzlich das in der Hauptsache zulässige Rechtsmittel offen steht (Urteil 5A_519/2019 vom 29. Oktober 2019 E. 1.1 mit Hinweis). Dort geht es um einen Erbteilungsprozess, also um eine vermögensrechtliche Zivilsache ( Art. 72 Abs. 1 BGG ), dessen Streitwert Fr. 30'000.-- übersteigt und damit das Streitwerterfordernis erfüllt (Art. 74 Abs. 1 Bst. b BGG). Damit braucht nicht geprüft zu werden, ob sich vorliegend eine Rechtsfrage von grundsätzlicher Bedeutung stellt (vgl. Art. 74 Abs. 2 Bst. a BGG), wie die Klägerin geltend macht. Offensichtlich liegt mit Bezug auf das Hauptsacheverfahren kein Endentscheid im Sinn von Art. 90 BGG vor. Ob der angefochtene Entscheid als unmittelbar anfechtbarer Teilentscheid ( Art. 91 BGG ) oder als bedingt anfechtbarer Zwischenentscheid ( Art. 93 Abs. 1 BGG ) zu qualifizieren ist (vgl. zur Unterscheidung dieser Entscheidarten: BGE 141 III 395 E. 2), kann angesichts des Ausgangs des Verfahrens offen bleiben.</w:t>
      </w:r>
    </w:p>
    <w:p>
      <w:r>
        <w:rPr>
          <w:b/>
        </w:rPr>
        <w:t>E. 1.2</w:t>
      </w:r>
    </w:p>
    <w:p>
      <w:r>
        <w:t>Mit der vorliegenden Beschwerde kann insbesondere die Verletzung von Bundesrecht gerügt werden (Art. 95 Bst. a BGG). In der Beschwerde ist in gedrängter Form darzulegen, inwiefern der angefochtene Entscheid Recht verletzt ( Art. 42 Abs. 2 BGG ; BGE 143 I 377 E. 1.2). Die Verletzung verfassungsmässiger Rechte ist ebenfalls zu begründen, wobei hier das Rügeprinzip gilt ( Art. 106 Abs. 2 BGG ; BGE 142 III 364 E. 2.4).</w:t>
      </w:r>
    </w:p>
    <w:p>
      <w:r>
        <w:rPr>
          <w:b/>
        </w:rPr>
        <w:t>E. 1.3</w:t>
      </w:r>
    </w:p>
    <w:p>
      <w:r>
        <w:t>Das Bundesgericht legt seinem Urteil den Sachverhalt zugrunde, den die Vorinstanz festgestellt hat ( Art. 105 Abs. 1 BGG ). Neue Tatsachen und Beweismittel sind nur zulässig, soweit der vorinstanzliche Entscheid dazu Anlass gibt ( Art. 99 Abs. 1 BGG ).</w:t>
      </w:r>
    </w:p>
    <w:p>
      <w:r>
        <w:rPr>
          <w:b/>
        </w:rPr>
        <w:t>E. 2</w:t>
      </w:r>
    </w:p>
    <w:p>
      <w:r>
        <w:t>Zusammengefasst beruft sich die Klägerin auf den Grundsatz, wonach einer Partei aus einer unrichtigen Rechtsmittelbelehrung kein Nachteil erwachsen dürfe. Unter Bezugnahme auf Art. 5 Abs. 3, Art. 8 und Art. 9 BV , Art. 52 und Art. 238 f. ZPO sowie Art. 49 BGG leitet sie daraus ab, dass sie nicht zur Leistung einer Parteientschädigung an die Beklagte verpflichtet werden könne (dazu E. 3 sogleich) und Anspruch auf eine Entschädigung/Wiedergutmachung in der Höhe von Fr. 1'600.-- habe (dazu E. 4 unten).</w:t>
      </w:r>
    </w:p>
    <w:p>
      <w:r>
        <w:rPr>
          <w:b/>
        </w:rPr>
        <w:t>E. 3</w:t>
      </w:r>
    </w:p>
    <w:p>
      <w:r>
        <w:t>Hinsichtlich der Verpflichtung zur Leistung einer Parteientschädigung an die Beklagte übersieht die Klägerin, dass das Kantonsgericht die Dispositiv-Ziff. 1 des Kreisgerichts grundsätzlich als beschwerdefähig erachtete und die Rechtsmittelbelehrung insofern nicht unrichtig war. Das Kantonsgericht ist aber dennoch nicht auf das Rechtsmittel eingetreten, und zwar aus zwei Gründen: Erstens habe sich die Klägerin nicht zur Eintretensfrage geäussert, nämlich ob bzw. inwiefern ihr durch diese Anordnung (Einräumung der Möglichkeit eines freihändigen Verkaufs) ein nicht leicht wieder gutzumachender Nachteil drohe (Art. 319 Bst. b Ziff. 2 ZPO), und zweitens habe sie nicht dargelegt, aus welchen Gründen diese Anordnung bundesrechtswidrig sein könnte. Daraus folgerte das Kantonsgericht, es mangle diesbezüglich an einer hinreichenden Begründung. Mit diesen Erwägungen setzt sich die Klägerin nicht auseinander.</w:t>
      </w:r>
    </w:p>
    <w:p>
      <w:r>
        <w:t>Damit ist das Kantonsgericht mit Bezug auf die Dispositiv-Ziff. 1 des Kreisgerichts aus Gründen nicht auf die Beschwerde der Klägerin eingetreten, die in keinem Zusammenhang mit der (teilweise) fehlerhaften Rechtsmittelbelehrung stehen. Dass und inwiefern es unter diesen Umständen bundesrechtswidrig sein soll, die Klägerin als unterliegende Partei zu betrachten und gestützt auf Art. 106 Abs. 1 ZPO zur Leistung einer Parteientschädigung zu verpflichten, legt die Klägerin nicht dar und ist auch nicht ersichtlich. Ebenso wenig macht sie geltend, dass die zugesprochene Parteientschädigung unter den gegebenen Verhältnissen zu hoch ausgefallen sei. Da sich die Höhe der Parteientschädigung allein nach kantonalem Recht richtet ( Art. 96 ZPO ) und das Bundesgericht die Auslegung und Anwendung kantonalen (und kommunalen) Verfassungs-, Gesetzes- oder Verordnungsrechts nicht als solche prüfen kann, sondern lediglich daraufhin, ob dadurch Bundes-, Völker- oder interkantonales Recht verletzt wird (Art. 95 Bst. a, b und e BGG; BGE 142 II 369 E. 2.1), insbesondere das Willkürverbot ( Art. 9 BV ; BGE 142 V 513 E. 4.2), kann das Bundesgericht diese Frage nicht von Amtes wegen prüfen ( Art. 106 Abs. 2 BGG ).</w:t>
      </w:r>
    </w:p>
    <w:p>
      <w:r>
        <w:rPr>
          <w:b/>
        </w:rPr>
        <w:t>E. 4.1</w:t>
      </w:r>
    </w:p>
    <w:p>
      <w:r>
        <w:t>Es entspricht einem allgemeinen Rechtsgrundsatz, dass einer Partei aus einer unrichtigen Rechtsmittelbelehrung kein Nachteil entstehen soll ( BGE 145 IV 259 E. 1.4.4; 144 II 401 E. 3.1 mit Hinweisen). Damit sind indes ausschliesslich unmittelbar mit dem hängigen Verfahren in Zusammenhang stehende Nachteile gemeint, wie z.B. die Fristwahrung bei falscher Angabe der Rechtsmittelfrist oder - wie im angefochtenen Entscheid - die Berücksichtigung bei der Höhe und Verlegung der Prozesskosten. Einen generellen Anspruch auf finanzielle Abgeltung für (angeblich) unnütze Aufwendungen gibt es nicht. Dies ist bestenfalls im Rahmen einer Parteientschädigung möglich, welche unter besonderen Umständen, beispielsweise im Falle einer sogenannten Justizpanne, zu Lasten des Staates geht. Ob diese Voraussetzungen hier gegeben wären, braucht indes nicht geprüft zu werden, denn die Klägerin hat, wie sich aus der nachfolgenden Erwägung ergibt, so oder anders keinen Anspruch auf eine Parteientschädigung.</w:t>
      </w:r>
    </w:p>
    <w:p>
      <w:r>
        <w:rPr>
          <w:b/>
        </w:rPr>
        <w:t>E. 4.2.1</w:t>
      </w:r>
    </w:p>
    <w:p>
      <w:r>
        <w:t>Die Klägerin ist nicht anwaltlich vertreten. Prozessiert eine Partei ohne berufsmässige Vertretung, so hat sie neben dem Ersatz notwendiger Auslagen (Art. 95 Abs. 3 Bst. a ZPO) nur in begründeten Fällen Anspruch auf eine angemessene Umtriebsentschädigung (Art. 95 Abs. 3 Bst. c ZPO; vgl. Urteil 5D_229/2011 vom 16. April 2012 E. 3.3). Dass einer nicht anwaltlich vertretenen Partei ersatzfähige Kosten für Umtriebe erwachsen, ist ungewöhnlich und bedarf einer besonderen Begründung (vgl. Urteile 4A_233/2017 vom 28. September 2017 E. 4.1; 4A_192/2016 vom 22. Juni 2016 E. 8.2; 4A_355/2013 vom 22. Oktober 2013 E. 4.2 mit Hinweis auf das zitierte Urteil 5D_229/2011). Unter einer Umtriebsentschädigung versteht der Gesetzgeber in erster Linie einen gewissen Ausgleich für den Verdienstausfall einer selbstständig erwerbenden Person (Botschaft vom 28. Juni 2006 zur Schweizerischen Zivilprozessordnung, BBl 2006 7293 Ziff. 5.8.1 zu Art. 93 und 94). Die Rechtsprechung hat diese Sichtweise übernommen (Urteile 5A_268/2019 vom 15. April 2019 E. 2.2; 5A_157/2019 vom 25. April 2019 E. 2.2; 5A_741/2018, 5A_772/2018 vom 18. Januar 2019 E. 9.2; 5D_7/2015 vom 13. August 2015 E. 9.1). Auch die Doktrin schliesst sich dieser Auslegung an, selbst wenn nach gewissen Autoren auch andere - hier nicht zutreffende - Konstellationen Anlass zur Ausrichtung einer Umtriebsentschädigung geben könnten (Rüegg/ Rüegg, in: Basler Kommentar, Schweizerische Zivilprozessordnung, 3. Aufl. 2017, N. 21 zu Art. 95 ZPO ; Sterchi, in: Berner Kommentar, Schweizerische Zivilprozessordnung, Bd. I, 2012, N. 15 zu Art. 95 ZPO ; van de Graaf, in: ZPO, Oberhammer/Domej/Haas [Hrsg.], 2. Aufl. 2014, N. 36 zu Art. 95 ZPO ; Tappy, in: Commentaire Romand, Code de procédure civile, 2. Aufl. 2019, N. 35 zu Art. 95 ZPO ).</w:t>
      </w:r>
    </w:p>
    <w:p>
      <w:r>
        <w:rPr>
          <w:b/>
        </w:rPr>
        <w:t>E. 4.2.2</w:t>
      </w:r>
    </w:p>
    <w:p>
      <w:r>
        <w:t>Auslagen im eigentlichen Sinn macht die Klägerin nicht geltend. Sie führt vielmehr an, wegen der falschen Rechtsmittelbelehrung habe sie die Beschwerde und Stellungnahmen mit Beilagen von über 100 Seiten eingereicht und hiefür unzählige Stunden investieren müssen. Ausserdem habe sie wegen der 10-tägigen Frist unter Zeitdruck gestanden und sei nicht in der Lage gewesen, kurzfristig einen Anwalt zu finden für eine solch komplexe Angelegenheit, die seit 13 Jahren hängig sei.</w:t>
      </w:r>
    </w:p>
    <w:p>
      <w:r>
        <w:rPr>
          <w:b/>
        </w:rPr>
        <w:t>E. 4.2.3</w:t>
      </w:r>
    </w:p>
    <w:p>
      <w:r>
        <w:t>Die von der Klägerin angeführten Gründe berechtigen nicht zur Ausrichtung einer Umtriebsentschädigung. Dass sie wegen den von ihr angestrengten prozessualen Vorkehren eine Einkommenseinbusse erlitten hätte, behauptet sie nicht. Damit hätte sie, selbst wenn von einer sogenannten Justizpanne auszugehen wäre, im kantonalen Verfahren keinen Anspruch auf eine Umtriebsentschädigung.</w:t>
      </w:r>
    </w:p>
    <w:p>
      <w:r>
        <w:rPr>
          <w:b/>
        </w:rPr>
        <w:t>E. 5</w:t>
      </w:r>
    </w:p>
    <w:p>
      <w:r>
        <w:t>Gestützt auf die vorstehenden Erwägungen erweist sich die Beschwerde als unbegründet; sie ist abzuweisen. Damit unterliegt die Klägerin, und sie wird kostenpflichtig ( Art. 66 Abs. 1 BGG ). Aufgrund der besonderen Verhältnisse wird indes auf die Erhebung von Gerichtskosten verzichtet. Damit wird das Gesuch um Gewährung der unentgeltlichen Rechtspflege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