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5A_131/2020 vom 19. Februar 2020</w:t>
      </w:r>
    </w:p>
    <w:p>
      <w:r>
        <w:t>Bundesgericht, 2020-02-19, FR</w:t>
      </w:r>
    </w:p>
    <w:p>
      <w:r>
        <w:rPr>
          <w:b/>
        </w:rPr>
        <w:t xml:space="preserve">Quelle: </w:t>
      </w:r>
      <w:r>
        <w:t>https://mcp.opencaselaw.ch/entscheid/bger_5A_131_2020</w:t>
      </w:r>
    </w:p>
    <w:p>
      <w:r>
        <w:t>FR: TF 5A_131/2020 du 19 février 2020</w:t>
      </w:r>
    </w:p>
    <w:p>
      <w:r>
        <w:t>IT: TF 5A_131/2020 del 19 febbraio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24 décembre 2019 sur la requête de A.________, le Tribunal de première instance de Genève a ordonné un séquestre à concurrence de 109'524 fr. plus intérêts à 5% dès le 19 octobre 2019 au préjudice de B.________. L'avis de séquestre a été communiqué à la Banque C.________ SA, qui a confirmé le 8 janvier 2020 avoir bloqué un montant de 109'524 fr., à l'exclusion des intérêts et frais.</w:t>
      </w:r>
    </w:p>
    <w:p>
      <w:r>
        <w:rPr>
          <w:b/>
        </w:rPr>
        <w:t>E. 1.2</w:t>
      </w:r>
    </w:p>
    <w:p>
      <w:r>
        <w:t>Par décision du 9 janvier 2020, l'Office des poursuites du canton de Genève a fixé provisoirement l'assiette du séquestre à 162'654 fr. 65, montant qui comprend les intérêts sur sept ans ainsi qu'une somme de 10'000 fr. à titre de frais; le 23 janvier 2020, il a établi un procès-verbal de séquestre confirmant l'assiette du séquestre.</w:t>
      </w:r>
    </w:p>
    <w:p>
      <w:r>
        <w:rPr>
          <w:b/>
        </w:rPr>
        <w:t>E. 1.3</w:t>
      </w:r>
    </w:p>
    <w:p>
      <w:r>
        <w:t>La créancière a porté plainte; elle a conclu à l'attribution de l'effet suspensif, à l'annulation du procès-verbal de séquestre et au maintien de l'assiette du séquestre sur l'ensemble des avoirs bancaires dont le débiteur est titulaire.</w:t>
      </w:r>
    </w:p>
    <w:p>
      <w:r>
        <w:t>Par ordonnance du 29 janvier 2020, le Président de la Chambre de surveillance des Offices des poursuites et faillites de la Cour de justice du canton de Genève a arrêté à 182'654 fr. 65 l'assiette "</w:t>
      </w:r>
    </w:p>
    <w:p>
      <w:r>
        <w:t>provisoire " du séquestre, le procès-verbal de séquestre contesté étant modifié dans cette mesure.</w:t>
      </w:r>
    </w:p>
    <w:p>
      <w:r>
        <w:rPr>
          <w:b/>
        </w:rPr>
        <w:t>E. 2</w:t>
      </w:r>
    </w:p>
    <w:p>
      <w:r>
        <w:t>Par écriture expédiée le 13 février 2020, la créancière forme un recours en matière civile au Tribunal fédéral contre l'ordonnance précitée; sur le fond, elle demande le séquestre des biens de l'intimé à concurrence de 5'662'410 fr. avec intérêts à 5% dès le 1er octobre 2015, sans être astreinte à fournir des sûretés.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a été déposé à temps ( art. 100 al. 2 let. a LTF ) à l'encontre d'une décision prise en matière de poursuite pour dettes ( art. 72 al. 2 let. a LTF ) par une autorité de surveillance ayant statué en dernière instance cantonale ( art. 75 al. 1 LTF ). Il est recevable quelle que soit la valeur litigieuse ( art. 74 al. 2 let . c LTF). La recourante, qui a pris part à la procédure devant la juridiction précédente et a un intérêt digne de protection à la modification de l'ordonnance entreprise, a qualité pour recourir ( art. 76 al. 1 LTF ).</w:t>
      </w:r>
    </w:p>
    <w:p>
      <w:r>
        <w:rPr>
          <w:b/>
        </w:rPr>
        <w:t>E. 4.1</w:t>
      </w:r>
    </w:p>
    <w:p>
      <w:r>
        <w:t>En l'espèce, le Président de la juridiction précédente a rappelé que l'octroi ou le refus de l'effet suspensif selon l' art. 36 LP relève du large pouvoir d'appréciation de l'autorité de surveillance; en vertu de l' art. 21 al. 1 LPA /GE, applicable à la procédure de plainte par renvoi de l'art. 9 al. 4 LaLP/GE, celle-ci peut ordonner des mesures provisionnelles, en exigeant au besoin des sûretés.</w:t>
      </w:r>
    </w:p>
    <w:p>
      <w:r>
        <w:t>En substance, le Président de l'autorité de surveillance a estimé que la plaignante avait rendu vraisemblable que l'assiette du séquestre qui avait été fixée dans le procès-verbal</w:t>
      </w:r>
    </w:p>
    <w:p>
      <w:r>
        <w:t>ad hoc n'était pas suffisante pour couvrir le capital, les intérêts et les frais selon l' art. 97 al. 2 LP ; il a dès lors ordonné "</w:t>
      </w:r>
    </w:p>
    <w:p>
      <w:r>
        <w:t>à titre provisionnel " une "</w:t>
      </w:r>
    </w:p>
    <w:p>
      <w:r>
        <w:t>assiette provisoire " du séquestre augmentée de 20'000 fr. par rapport à celle admise par l'Office. Enfin, le magistrat cantonal a considéré que la plaignante ne pouvait exiger un procès-verbal précis à ce stade de la procédure "</w:t>
      </w:r>
    </w:p>
    <w:p>
      <w:r>
        <w:t>pour requérir des mesures provisionnelles ou un effet suspensif " tendant à maintenir sous séquestre l'intégralité des avoirs bancaires du débiteur.</w:t>
      </w:r>
    </w:p>
    <w:p>
      <w:r>
        <w:rPr>
          <w:b/>
        </w:rPr>
        <w:t>E. 4.2</w:t>
      </w:r>
    </w:p>
    <w:p>
      <w:r>
        <w:t>Contrairement à ce qu'affirme la recourante, l'ordonnance déférée n'est pas une décision "</w:t>
      </w:r>
    </w:p>
    <w:p>
      <w:r>
        <w:t>finale partielle " au sens de l' art. 91 let. a LTF , mais une décision incidente au sens de l' art. 93 al. 1 LTF ( ATF 137 III 475 consid. 1). La question de savoir si elle peut causer un préjudice irréparable (</w:t>
      </w:r>
    </w:p>
    <w:p>
      <w:r>
        <w:t>cf . sur cette notion: ATF 142 III 798 consid. 2.2) peut rester indécise, le recours étant irrecevable pour un autre motif.</w:t>
      </w:r>
    </w:p>
    <w:p>
      <w:r>
        <w:t>La décision attaquée porte sur des</w:t>
      </w:r>
    </w:p>
    <w:p>
      <w:r>
        <w:t>mesures provisionnelles , ses motifs et son dispositif étant dépourvus d'ambiguïté à cet égard; le Président de l'autorité cantonale a du reste expressément réservé l'instruction de la plainte et fixé au débiteur et à l'Office un délai pour présenter leurs observations: partant, elle tombe sous le coup de l' art. 98 LTF (parmi d'autres: ATF 137 III 475 consid. 2). En l'espèce, la recourante soulève "</w:t>
      </w:r>
    </w:p>
    <w:p>
      <w:r>
        <w:t>au moins " deux griefs: d'une part, le procès-verbal de séquestre est "</w:t>
      </w:r>
    </w:p>
    <w:p>
      <w:r>
        <w:t>incomplet " et ne satisfait pas aux prescriptions de l' art. 276 al. 1 LP ; d'autre part, le magistrat précédent a procédé à une "</w:t>
      </w:r>
    </w:p>
    <w:p>
      <w:r>
        <w:t>levée partielle du séquestre " par une application "</w:t>
      </w:r>
    </w:p>
    <w:p>
      <w:r>
        <w:t>servile " de l' art. 97 al. 2 LP . Or, il ne s'agit pas de</w:t>
      </w:r>
    </w:p>
    <w:p>
      <w:r>
        <w:t>droits constitutionnels au sens de l' art. 98 LTF , invoqués de surcroît de manière conforme à l' art. 106 al. 2 LTF ( ATF 133 III 589 consid. 2; 135 III 232 consid. 1.2 et la jurisprudence citée).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(66 al. 1 LTF).</w:t>
      </w:r>
    </w:p>
    <w:p>
      <w:r>
        <w:t>Le présent arrêt rend sans objet la requête de mesures provisionnelles formée par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