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5A_130/2018 vom 11. April 2018</w:t>
      </w:r>
    </w:p>
    <w:p>
      <w:r>
        <w:t>Bundesgericht, 2018-04-11, FR</w:t>
      </w:r>
    </w:p>
    <w:p>
      <w:r>
        <w:rPr>
          <w:b/>
        </w:rPr>
        <w:t xml:space="preserve">Quelle: </w:t>
      </w:r>
      <w:r>
        <w:t>https://mcp.opencaselaw.ch/entscheid/bger_5A_130_2018</w:t>
      </w:r>
    </w:p>
    <w:p>
      <w:r>
        <w:t>FR: TF 5A_130/2018 du 11 avril 2018</w:t>
      </w:r>
    </w:p>
    <w:p>
      <w:r>
        <w:t>IT: TF 5A_130/2018 del 11 aprile 2018</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Le litige porte sur l'attribution de la garde et de l'autorité parentale, de sorte qu'il s'agit d'une affaire non pécuniaire. Le recours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2.1</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arrêt 5A_56/2018 du 6 mars 2018 consid. 3.1).</w:t>
      </w:r>
    </w:p>
    <w:p>
      <w:r>
        <w:rPr>
          <w:b/>
        </w:rPr>
        <w:t>E. 2.2</w:t>
      </w:r>
    </w:p>
    <w:p>
      <w:r>
        <w:t>Dans les limitées dictées par le principe de l'autorité de l'arrêt de renvoi, 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w:t>
      </w:r>
    </w:p>
    <w:p>
      <w:r>
        <w:t>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133 II 249 consid. 1.4.1).</w:t>
      </w:r>
    </w:p>
    <w:p>
      <w:r>
        <w:rPr>
          <w:b/>
        </w:rPr>
        <w:t>E. 2.3</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rPr>
          <w:b/>
        </w:rPr>
        <w:t>E. 3</w:t>
      </w:r>
    </w:p>
    <w:p>
      <w:r>
        <w:t>Dans l'arrêt de renvoi, le Tribunal fédéral a considéré que les autorités suisses n'étaient en principe pas compétentes pour se saisir de l'action en modification du jugement de divorce, sauf à pouvoir fonder leur compétence sur l' art. 85 al. 3 LDIP . Dans la mesure où les faits nécessaires pour déterminer si la protection des enfants exigeait que les tribunaux suisses se considèrent comme compétents en vertu de cette disposition ne ressortaient pas de l'arrêt querellé, la cause a été renvoyée à l'autorité précédente pour nouvelle décision (arrêt 5A_331/2015 du 20 janvier 2016, publié aux ATF 142 III 56 , consid. 2.1).</w:t>
      </w:r>
    </w:p>
    <w:p>
      <w:r>
        <w:t>Se conformant aux exigences de cet arrêt, l'autorité cantonale a pu établir que les autorités tunisiennes n'étaient pas intervenues et qu'elles n'allaient pas le faire. Il n'y avait pas eu de décision ni d'ouverture d'une procédure concernant les enfants, alors qu'ils vivaient et étaient scolarisés dans ce pays depuis plus de sept ans. Le risque que des mesures soient prises à l'étranger et qu'elles rendent la compétence des autorités suisses inutile ou inopportune était ainsi très faible. Dans ces circonstances, la juridiction précédente a retenu qu'il était nécessaire d'agir dans un but de protection des enfants, qui n'avaient pas vu leur père depuis des années et qui risquaient de ne pas le voir tant qu'aucune décision ne statuait définitivement sur la question de la garde. La compétence des autorités suisses était donc fondée, en vertu de l' art. 85 al. 3 LDIP .</w:t>
      </w:r>
    </w:p>
    <w:p>
      <w:r>
        <w:t>Cette compétence n'est pas remise en cause par le recourant. Il s'agit toutefois d'une question qui doit être examinée d'office par le Tribunal fédéral ( ATF 142 III 56 consid. 2.1). Sur la base des faits qui ressortent de l'arrêt attaqué, qui ne sont pas contestés, partant, qui lient la Cour de céans (cf. supra consid. 2.3), c'est à bon droit que la cour cantonale a considéré que les tribunaux suisses étaient compétents, en l'espèce, pour statuer sur la requête de modification du jugement de divorce (cf. à ce sujet ATF 142 III 56 consid. 2.1.4).</w:t>
      </w:r>
    </w:p>
    <w:p>
      <w:r>
        <w:rPr>
          <w:b/>
        </w:rPr>
        <w:t>E. 4</w:t>
      </w:r>
    </w:p>
    <w:p>
      <w:r>
        <w:t>Le recourant se plaint d'une violation de l' art. 134 CC .</w:t>
      </w:r>
    </w:p>
    <w:p>
      <w:r>
        <w:rPr>
          <w:b/>
        </w:rPr>
        <w:t>E. 4.1</w:t>
      </w:r>
    </w:p>
    <w:p>
      <w:r>
        <w:t>En particulier, il fait valoir que, se méprenant sur la portée de l'arrêt de renvoi, la cour cantonale a omis de vérifier si des faits nouveaux et durables, au sens de cette disposition, impliquaient d'entrer en matière sur la requête de modification du jugement de divorce du 1er mars 2012. Il ajoute que, dans la mesure où les faits nouveaux doivent exister au moment du dépôt de la requête, ce serait à tort que la cour cantonale a tenu compte à ce titre de l'âge actuel des enfants et la durée de leur séjour en Tunisie (arrêt entrepris, p. 9). Le recourant relève aussi qu'au moment du dépôt de la requête de modification, les enfants n'étaient âgés que de " quatre mois de plus que la situation prise en considération de l'arrêt du Tribunal fédéral " du 31 octobre 2011. Leur âge ne pouvait donc pas constituer un fait nouveau. Il en allait de même s'agissant de leur " prétendue " volonté de rester avec leur mère. Enfin, " aucun des prétendus faits nouveaux allégués dans la requête du 1er mars 2012 aux chiffres 8 à 19 ne constitue[rait] un fait nouveau susceptible d'entraîner une modification de jugement de divorce ".</w:t>
      </w:r>
    </w:p>
    <w:p>
      <w:r>
        <w:rPr>
          <w:b/>
        </w:rPr>
        <w:t>E. 4.2</w:t>
      </w:r>
    </w:p>
    <w:p>
      <w:r>
        <w:t>Comme le relève le recourant, la cour cantonale a méconnu la portée de l'arrêt de renvoi, considérant, à tort, qu'il en ressortait que " si les autorités suisses sont compétentes, il faudrait considérer que des faits nouveaux importants et durables au sens de l' art. 134 CC impliquent d'entrer en matière sur la requête de modification du jugement de divorce " (arrêt entrepris, consid. 4.1 p. 8). En réalité, dans l'arrêt de renvoi, la Cour de céans n'a pas tranché la question de l'existence de faits nouveaux au sens de l' art. 134 CC . Elle a uniquement relevé que, dans l'hypothèse où la compétence des autorités suisse serait donnée</w:t>
      </w:r>
    </w:p>
    <w:p>
      <w:r>
        <w:t>et pour autant que des faits nouveaux et durables au sens de l' art. 134 CC impliquaient d'entrer en matière sur la requête de modification du jugement divorce , les questions de la garde et de l'autorité parentale devraient être examinées à l'aune du nouveau droit entré en vigueur le 1er juillet 2014. Ainsi, le cas échéant, il s'agirait pour l'autorité cantonale d'établir les faits nécessaires à cet égard (arrêt 5A_331/2015 précité, consid. 3). En d'autres termes, le grief de A.________ tiré de l'absence de faits nouveaux au sens de l' art. 134 CC - soulevé dans son recours du 24 avril 2015 ayant donné lieu à l'arrêt de renvoi - n'avait pas à être tranché en l'état, vu le renvoi de la cause à l'autorité cantonale pour examiner la question de la compétence des tribunaux suisses.</w:t>
      </w:r>
    </w:p>
    <w:p>
      <w:r>
        <w:t>Ce nonobstant, il ressort des faits de la cause qu'au moment du dépôt de la requête (1er mars 2012), les enfants vivaient en Tunisie depuis plus d'un an et demi (à tout le moins depuis août 2010) avec le nouvel enfant de leur mère, né en 2011, et avec la perspective de demeurer dans ce pays, ce d'autant qu'un nouvel enfant est né en 2012, ce qui constitue un motif de réexamen de leur situation. Ces faits, ultérieurs à la précédente requête de modification du jugement de divorce ayant donné lieu au jugement du 25 mars 2010, étaient véritablement nouveaux et durables. L'autorité cantonale n'a ainsi pas violé le droit fédéral en considérant qu'il s'imposait d'entrer en matière sur la demande de modification du jugement de divorce, partant, d'examiner s'il se justifiait de modifier la réglementation de la garde et de l'autorité parentale. Il s'ensuit que les critiques du recourant doivent être rejetées par substitution de motifs.</w:t>
      </w:r>
    </w:p>
    <w:p>
      <w:r>
        <w:rPr>
          <w:b/>
        </w:rPr>
        <w:t>E. 5</w:t>
      </w:r>
    </w:p>
    <w:p>
      <w:r>
        <w:t>Le recourant ne remet pas en cause l'attribution de l'autorité parentale conjointe (arrêt entrepris, consid. 4.2), pas plus que les considérations de la juridiction précédente ayant conduit à confier à la mère la garde des enfants et le droit de déterminer leur lieu de résidence (arrêt entrepris, consid. 4.3.2 in fine). Il n'y a donc pas lieu de s'y pencher (cf. supra consid. 2.2 in fine).</w:t>
      </w:r>
    </w:p>
    <w:p>
      <w:r>
        <w:rPr>
          <w:b/>
        </w:rPr>
        <w:t>E. 6</w:t>
      </w:r>
    </w:p>
    <w:p>
      <w:r>
        <w:t>En conclusion, le recours est rejeté. La requête d'assistance judiciaire du recourant est admise ( art. 64 al. 1 LTF ). Les frais judiciaires lui incombant seront donc provisoirement supportés par la Caisse du Tribunal fédéral ( art. 64 al. 4 LTF ) et celle-ci versera à son conseil une indemnité à titre d'honoraires d'avocat d'office. Il n'est pas alloué de dépens aux autres participants à la procédure, aucune détermination n'ayant été demandée.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