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5A_12/2024 vom 15. Januar 2024</w:t>
      </w:r>
    </w:p>
    <w:p>
      <w:r>
        <w:t>Bundesgericht, 2024-01-15, DE</w:t>
      </w:r>
    </w:p>
    <w:p>
      <w:r>
        <w:rPr>
          <w:b/>
        </w:rPr>
        <w:t xml:space="preserve">Quelle: </w:t>
      </w:r>
      <w:r>
        <w:t>https://mcp.opencaselaw.ch/entscheid/bger_5A_12_2024</w:t>
      </w:r>
    </w:p>
    <w:p>
      <w:r>
        <w:t>FR: TF 5A_12/2024 du 15 janvier 2024</w:t>
      </w:r>
    </w:p>
    <w:p>
      <w:r>
        <w:t>IT: TF 5A_12/2024 del 15 gennaio 2024</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Kantonsgericht hat sich im angefochtenen Entscheid ausführlich zur Situation des Kindes geäussert. Dieses durchläuft zur Zeit als Trans-Jugendlicher den Prozess einer geschlechtsorientierten Identitätsfindung und leidet unter multiplen Belastungen, namentlich auch aufgrund der familiären Konflikte, insbesondere mit seiner Stiefmutter und angesichts des zerrütteten Verhältnisses zur Mutter (Beschwerdeführerin). Der Kontakt zum Vater (Beschwerdegegner) sei zwar gut, aber in Konfliktsituationen stelle sich dieser oft auf die Seite seiner neuen Ehefrau (Stiefmutter). Aufgrund von Suizidgedanken sei D.C.________ während drei Wochen psychiatrisch hospitalisiert gewesen, wo er sich verstanden gefühlt habe. Er halte die Spannungen im häuslichen Umfeld nur noch schwer aus und ziehe sich zurück. Er habe persönlich bestätigt, dass eine Platzierung für ihn die richtige Wahl sei. Die Mutter sei ursprünglich auch mit einer Platzierung einverstanden gewesen, später aber nicht mehr. D.C.________ wolle keinen Kontakt zu ihr haben, was angesichts seines Alters und der Tatsache, dass seit längerer Zeit kein Kontakt mehr bestehe, zu respektieren sei. Im Übrigen seien D.C.________ wie auch sein Vater der Meinung, dass eine Platzierung die richtige Lösung für die weitere Entwicklung sei.</w:t>
      </w:r>
    </w:p>
    <w:p>
      <w:r>
        <w:t>Vor diesem Hintergrund stellte sich das Kantonsgericht (wie bereits die KESB) die Frage, ob die Beschwerdeführerin die Lage von D.C.________ überhaupt sachgerecht einschätzen könne. Obwohl dieser und der Vater mit einer Platzierung einverstanden seien, stelle sie sich dagegen, ohne jedoch eine alternative Lösung aufzuzeigen oder ihren Standpunkt zu begründen.</w:t>
      </w:r>
    </w:p>
    <w:p>
      <w:r>
        <w:rPr>
          <w:b/>
        </w:rPr>
        <w:t>E. 3</w:t>
      </w:r>
    </w:p>
    <w:p>
      <w:r>
        <w:t>Die Beschwerde scheitert bereits am fehlenden Rechtsbegehren. Es ist nicht klar, was die Beschwerdeführerin mit ihrer Eingabe konkret anstrebt.</w:t>
      </w:r>
    </w:p>
    <w:p>
      <w:r>
        <w:t>Die Beschwerde bleibt aber auch unbegründet, indem sich die Beschwerdeführerin nicht ansatzweise mit den Erwägungen des angefochtenen Entscheides auseinandersetzt, sondern eine grosse Zahl von Bestimmungen des StGB, der EMRK, der UN-KRK, des ZGB und weiterer Gesetze anruft und diese weitschweifig kommentiert, wobei sie zusammengefasst zum Ausdruck bringt, dass ihre und die Rechte des Kindes durch kriminelle Machenschaften und Behördenwillkür systematisch missachtet würden. Inwiefern jedoch mit dem angefochtenen Entscheid konkret Recht verletzt, insbesondere Art. 310 ZGB falsch angewandt worden sein könnte und wie ein in ihren Augen richtiger Entscheid aussehen sollte, legt die Beschwerdeführerin nicht dar.</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