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5A_12/2015 vom 30. Januar 2015</w:t>
      </w:r>
    </w:p>
    <w:p>
      <w:r>
        <w:t>Bundesgericht, 2015-01-30, DE</w:t>
      </w:r>
    </w:p>
    <w:p>
      <w:r>
        <w:rPr>
          <w:b/>
        </w:rPr>
        <w:t xml:space="preserve">Quelle: </w:t>
      </w:r>
      <w:r>
        <w:t>https://mcp.opencaselaw.ch/entscheid/bger_5A_12_2015</w:t>
      </w:r>
    </w:p>
    <w:p>
      <w:r>
        <w:t>FR: TF 5A_12/2015 du 30 janvier 2015</w:t>
      </w:r>
    </w:p>
    <w:p>
      <w:r>
        <w:t>IT: TF 5A_12/2015 del 30 gennaio 2015</w:t>
      </w:r>
    </w:p>
    <w:p>
      <w:pPr>
        <w:pStyle w:val="Heading2"/>
      </w:pPr>
      <w:r>
        <w:t>Erwägungen</w:t>
      </w:r>
    </w:p>
    <w:p>
      <w:r>
        <w:rPr>
          <w:b/>
        </w:rPr>
        <w:t>E. 1.1</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(vgl. BGE 131 I 153 E. 1.2 S. 157).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zum Ganzen: BGE 140 III 92 E. 1.1; 136 III 497 E. 1.1 S. 499 mit Hinweisen).</w:t>
      </w:r>
    </w:p>
    <w:p>
      <w:r>
        <w:rPr>
          <w:b/>
        </w:rPr>
        <w:t>E. 1.2</w:t>
      </w:r>
    </w:p>
    <w:p>
      <w:r>
        <w:t>Im vorliegenden Fall ist die fürsorgerische Unterbringung mit Verfügung vom 27. Januar 2015 aufgehoben worden; zudem ist die angefochtene Verfügung mit Bezug auf die darin angeordneten ambulanten Massnahmen durch die neue Verfügung ersetzt worden. Damit besteht kein schützenswertes Interesse an der Behandlung der vorliegenden Beschwerde, zumal sich mit der Aufhebung der angefochtenen Verfügung am Bestand der neuen Verfügung vom 27. Januar 2015 und den darin angeordneten ambulanten Massnahmen nichts ändern würde. Ein virtuelles Interesse ist nicht ersichtlich.</w:t>
      </w:r>
    </w:p>
    <w:p>
      <w:r>
        <w:rPr>
          <w:b/>
        </w:rPr>
        <w:t>E. 1.3</w:t>
      </w:r>
    </w:p>
    <w:p>
      <w:r>
        <w:t>Da das schützenswerte Interesse erst nach Einreichung der Beschwerde dahingefallen ist, wird das vorliegende Beschwerdeverfahren durch den Präsidenten der Abteilung in Anwendung von Art. 32 Abs. 2 BGG als gegenstandslos abgeschrieben ( BGE 136 III 497 E. 1.2; 118 Ia 488 E. 1.2).</w:t>
      </w:r>
    </w:p>
    <w:p>
      <w:r>
        <w:rPr>
          <w:b/>
        </w:rPr>
        <w:t>E. 2</w:t>
      </w:r>
    </w:p>
    <w:p>
      <w:r>
        <w:t>Den Umständen des konkreten Falles entsprechend werden keine Kosten erhoben ( Art. 66 Abs. 1 BGG ).</w:t>
      </w:r>
    </w:p>
    <w:p>
      <w:r>
        <w:rPr>
          <w:b/>
        </w:rPr>
        <w:t>E. 3</w:t>
      </w:r>
    </w:p>
    <w:p>
      <w:r>
        <w:t>Das Gesuch der Beschwerdeführerin um unentgeltliche Rechtspflege wird gutgeheissen, da sich die Beschwerde nicht von Anfang an als aussichtslos erwiesen hat und die Beschwerdeführerin als bedürftig gilt. Der Beschwerdeführerin wird ein amtlicher Rechtsbeistand bestellt, der für seine Bemühungen im bundesgerichtlichen Verfahren aus der Bundesgerichtskasse zu entschädigen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