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5A_129/2013 vom 7. Mai 2013</w:t>
      </w:r>
    </w:p>
    <w:p>
      <w:r>
        <w:t>Bundesgericht, 2013-05-07, FR</w:t>
      </w:r>
    </w:p>
    <w:p>
      <w:r>
        <w:rPr>
          <w:b/>
        </w:rPr>
        <w:t xml:space="preserve">Quelle: </w:t>
      </w:r>
      <w:r>
        <w:t>https://mcp.opencaselaw.ch/entscheid/bger_5A_129_2013</w:t>
      </w:r>
    </w:p>
    <w:p>
      <w:r>
        <w:t>FR: TF 5A_129/2013 du 7 mai 2013</w:t>
      </w:r>
    </w:p>
    <w:p>
      <w:r>
        <w:t>IT: TF 5A_129/2013 del 7 maggio 2013</w:t>
      </w:r>
    </w:p>
    <w:p>
      <w:pPr>
        <w:pStyle w:val="Heading2"/>
      </w:pPr>
      <w:r>
        <w:t>Erwägungen</w:t>
      </w:r>
    </w:p>
    <w:p>
      <w:r>
        <w:rPr>
          <w:b/>
        </w:rPr>
        <w:t>E. 1.1</w:t>
      </w:r>
    </w:p>
    <w:p>
      <w:r>
        <w:t>L'arrêt déféré émane d'un tribunal supérieur rejetant une demande de révision, fondée sur l' art. 328 al. 2 let. a CPC , de l'arrêt rendu par le Juge délégué de la Cour civile le 7 juillet 2011. Il s'agit d'une décision finale au sens de l' art. 90 LTF , susceptible de recours en matière civile pour autant que les autres conditions de recevabilité soient réalisées. Vu l'issue du recours, il n'est pas nécessaire de se prononcer sur l'incidence éventuelle, sur la compétence de la cour cantonale, de l'arrêt du Tribunal fédéral du 27 février 2012, lequel avait rejeté le recours initialement dirigé contre la décision dont la révision est désormais demandée.</w:t>
      </w:r>
    </w:p>
    <w:p>
      <w:r>
        <w:rPr>
          <w:b/>
        </w:rPr>
        <w:t>E. 1.2</w:t>
      </w:r>
    </w:p>
    <w:p>
      <w:r>
        <w:t>Interjeté en temps utile ( art. 100 al. 1 LTF ) contre une décision prise en matière civile ( art. 72 al. 1 LTF ) par une autorité supérieure statuant en dernière instance cantonale ( art. 75 LTF ), dans une cause de nature pécuniaire dont la valeur litigieuse est supérieure à 30'000 fr. ( art. 51 al. 1 let. a et al. 4, art. 74 al. 1 let. b LTF ), le recours est donc en principe recevable.</w:t>
      </w:r>
    </w:p>
    <w:p>
      <w:r>
        <w:rPr>
          <w:b/>
        </w:rPr>
        <w:t>E. 1.3</w:t>
      </w:r>
    </w:p>
    <w:p>
      <w:r>
        <w:t>La décision attaquée porte sur des mesures provisionnelles au sens de l' art. 98 LTF ( ATF 133 III 393 consid. 5.1, 585 consid. 3.3), de sorte que la partie recourante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134 I 83 consid. 3.2 et les arrêts cités). Les critiques de nature appellatoire sont irrecevables ( ATF 133 III 589 consid. 2 et les arrêts cités).</w:t>
      </w:r>
    </w:p>
    <w:p>
      <w:r>
        <w:rPr>
          <w:b/>
        </w:rPr>
        <w:t>E. 2</w:t>
      </w:r>
    </w:p>
    <w:p>
      <w:r>
        <w:t>Selon l'autorité cantonale, le mari faisait valoir, à l'appui de sa demande de révision, une pièce produite par l'épouse lors de l'audience du 18 juin 2012, attestant que celle-ci percevait des montants réguliers de ses parents. Il restait qu'il ne s'agissait pas d'un moyen de preuve concluant, à savoir susceptible de conduire à un résultat différent. En effet, que l'épouse soit aidée par ses parents, qui souhaitaient éviter que leur fille ne dépende des services sociaux, ne permettait en aucun cas une modification de la pension mise à la charge du mari: d'une part, la dette alimentaire entre ascendants et descendants n'était que subsidiaire à l'obligation d'entretien du père et du conjoint (cf. art. 328 CC ); d'autre part, il ne s'agissait en l'occurrence que d'un prêt des parents envers leur fille.</w:t>
      </w:r>
    </w:p>
    <w:p>
      <w:r>
        <w:t>Le recourant se plaint sur ce point d'arbitraire ( art. 9 Cst. ) dans l'appréciation des preuves et l'établissement des faits. Il soutient que les montants mensuels de 2'300 fr. versés sur le compte personnel de l'intimée depuis le début de l'année 2010 au moins ne constituent pas un prêt de ses parents, mais un revenu accessoire issu d'une activité rémunérée dissimulée. Il reproche en outre à l'autorité cantonale d'avoir violé l' art. 6 CEDH , l'instruction n'ayant pas eu lieu de manière complète et équitable.</w:t>
      </w:r>
    </w:p>
    <w:p>
      <w:r>
        <w:rPr>
          <w:b/>
        </w:rPr>
        <w:t>E. 2.1</w:t>
      </w:r>
    </w:p>
    <w:p>
      <w:r>
        <w:t>Le Tribunal fédéral se montre réservé en matière de constatation des faits et d'appréciation des preuves, vu le large pouvoir qu'il reconnaît en ce domaine aux autorités cantonales ( ATF 120 Ia 31 consid. 4b; 118 Ia 28 consid. 1b; 104 Ia 381 consid. 9 et les arrêts cités).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encore faut-il que la décision en soit viciée dans son résultat ( ATF 136 III 552 consid. 4.2; 134 V 53 consid. 4.3; 133 II 249 consid. 1.4.3; 129 I 8 consid. 2.1; 118 Ia 28 consid. 1b). Cette retenue est d'autant plus grande lorsque - comme en l'espèce - le juge n'examine la cause que d'une manière sommaire et provisoire ( ATF 130 III 321 consid. 3.3; 127 III 474 consid. 2b/bb).</w:t>
      </w:r>
    </w:p>
    <w:p>
      <w:r>
        <w:rPr>
          <w:b/>
        </w:rPr>
        <w:t>E. 2.2</w:t>
      </w:r>
    </w:p>
    <w:p>
      <w:r>
        <w:t>En l'espèce, le recourant se borne à contredire l'opinion de l'autorité cantonale, affirmant que les versements en question ne constituent pas un prêt mais un revenu, sans toutefois démontrer en quoi les éléments sur lesquels la juridiction précédente s'est fondée auraient été constatés ou appréciés de manière arbitraire. Il se contente d'affirmer, sans tenter d'étayer ses allégations, que l'autorité cantonale ne pouvait se contenter de demander l'avis de l'épouse, que l'attestation des parents de celle-ci du 8 octobre 2012, selon laquelle les versements réguliers sur le compte de leur fille sont des prêts de leur part, a un caractère fallacieux, et qu'il a déposé plainte pénale contre eux pour induction de la justice en erreur.</w:t>
      </w:r>
    </w:p>
    <w:p>
      <w:r>
        <w:t>De nature appellatoire, cette critique est irrecevable. Il en va de même lorsqu'il prétend que, selon les autorités judiciaires pénales, l'épouse et ses parents ne sont «a priori pas crédibles», l'arrêt de la Chambre des recours pénale auquel il se réfère étant sans pertinence en l'espèce. On ne voit pas non plus en quoi l' art. 6 CEDH aurait été violé, étant précisé que la maxime inquisitoire (applicable vu l' art. 272 CPC ) ne dispense pas les parties de collaborer activement à la procédure et d'étayer leurs propres thèses ( ATF 128 III 411 consid. 3.2.1 et les citations). La critique est donc irrecevable, faute de motivation conforme aux exigences légales ( art. 106 al. 2 LTF ).</w:t>
      </w:r>
    </w:p>
    <w:p>
      <w:r>
        <w:rPr>
          <w:b/>
        </w:rPr>
        <w:t>E. 3</w:t>
      </w:r>
    </w:p>
    <w:p>
      <w:r>
        <w:t>Vu ce qui précède, le recours doit être déclaré irrecevable. Comme ses conclusions apparaissaient d'emblée vouées à l'échec, la requête d'assistance judiciaire du recourant ne saurait être agréée ( art. 64 LTF ). Celui-ci supportera dès lors les frais judiciaires ( art. 66 al. 1 LTF ). L'intimée, qui s'est opposée à la requête d'effet suspensif, a droit à des dépens à ce titre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