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5A_128/2023 vom 16. Februar 2023</w:t>
      </w:r>
    </w:p>
    <w:p>
      <w:r>
        <w:t>Bundesgericht, 2023-02-16, DE</w:t>
      </w:r>
    </w:p>
    <w:p>
      <w:r>
        <w:rPr>
          <w:b/>
        </w:rPr>
        <w:t xml:space="preserve">Quelle: </w:t>
      </w:r>
      <w:r>
        <w:t>https://mcp.opencaselaw.ch/entscheid/bger_5A_128_2023</w:t>
      </w:r>
    </w:p>
    <w:p>
      <w:r>
        <w:t>FR: TF 5A_128/2023 du 16 février 2023</w:t>
      </w:r>
    </w:p>
    <w:p>
      <w:r>
        <w:t>IT: TF 5A_128/2023 del 16 febbraio 2023</w:t>
      </w:r>
    </w:p>
    <w:p>
      <w:pPr>
        <w:pStyle w:val="Heading2"/>
      </w:pPr>
      <w:r>
        <w:t>Erwägungen</w:t>
      </w:r>
    </w:p>
    <w:p>
      <w:r>
        <w:rPr>
          <w:b/>
        </w:rPr>
        <w:t>E. 1</w:t>
      </w:r>
    </w:p>
    <w:p>
      <w:r>
        <w:t>Im Unterschied zur nachgereichten Eingabe vom 16. Februar 2023 ist die Beschwerde vom 13. Februar 2023 nicht mit einer gültigen elektronischen Signatur versehen. Eine auf Art. 42 Abs. 5 BGG gestützte Rückweisung zur Verbesserung des Mangels (durch eigenhändige Unterschrift oder Anbringen einer gültigen elektronischen Signatur) erübrigt sich jedoch, weil auf die Beschwerde ohnehin nicht eingetreten werden kann, wie die nachfolgenden Ausführungen zeigen.</w:t>
      </w:r>
    </w:p>
    <w:p>
      <w:r>
        <w:rPr>
          <w:b/>
        </w:rPr>
        <w:t>E. 2</w:t>
      </w:r>
    </w:p>
    <w:p>
      <w:r>
        <w:t>Als Verfahrensgegenstand steht die Honorarfestsetzung im Vordergrund. Indes geht es auch um das Kostendach als solches und wird überdies eine Genugtuung von Fr. 25'000.-- verlangt. Insofern scheint der für die Beschwerde in Zivilsachen relevante Mindeststreitwert von Fr. 30'000.-- ( Art. 74 Abs. 1 lit. b BGG ) knapp erreicht und die Eingabe kann somit als Beschwerde in Zivilsachen entgegengenommen werden.</w:t>
      </w:r>
    </w:p>
    <w:p>
      <w:r>
        <w:rPr>
          <w:b/>
        </w:rPr>
        <w:t>E. 3</w:t>
      </w:r>
    </w:p>
    <w:p>
      <w:r>
        <w:t>Die Vorinstanz ist auf das Rechtsmittel der Beschwerdeführerin nicht eingetreten. Anfechtungsgegenstand im bundesgerichtlichen Verfahren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4</w:t>
      </w:r>
    </w:p>
    <w:p>
      <w:r>
        <w:t>Das Kantonsgericht hat erwogen, dass der unentgeltliche Rechtsbeistand in Bezug auf die Festsetzung des Honorars nach der bundesgerichtlichen Rechtsprechung in eigenem Namen hätte Beschwerde erheben müssen und die Beschwerdeführerin nur bei einem eigenen rechtlich geschützten Interesse beschwerdelegitimiert wäre, wobei nicht ansatzweise dargelegt werde, inwiefern in Bezug auf das auf Fr. 6'000.-- erhöhte und bei Bedarf jederzeit weiter erhöhbare Kostendach ein nicht wieder gutzumachender Nachteil vorliegen könnte und deshalb auch auf das damit verbundene Genugtuungsbegehren nicht einzutreten sei.</w:t>
      </w:r>
    </w:p>
    <w:p>
      <w:r>
        <w:rPr>
          <w:b/>
        </w:rPr>
        <w:t>E. 5</w:t>
      </w:r>
    </w:p>
    <w:p>
      <w:r>
        <w:t>Die Beschwerde besteht vorab aus einer Schelte gegenüber der Beschwerdegegnerin, welcher unterstellt wird, die Auszahlung der Honorare zu verzögern und diese willkürlich zu kürzen, um einen Interessenkonflikt zwischen der Beschwerdeführerin und dem unentgeltlich vertretenden Anwalt herbeizuführen und das Mandat aufheben zu können. Dies steht ausserhalb des Verfahrensgegenstandes; weder war das kantonale Rechtsmittelverfahren aufsichtsrechtlicher Natur noch wäre das Bundesgericht eine (Ober-) Aufsichtsbehörde in Bezug auf kantonale Behörden.</w:t>
      </w:r>
    </w:p>
    <w:p>
      <w:r>
        <w:t>In Bezug auf die Honorarfestsetzung erfolgt keine Auseinandersetzung mit der vorinstanzlichen Begründung, die Beschwerdeführerin habe kein eigenes Interesse an der Erhöhung des Honorars des vertretenden Anwaltes und in Bezug auf dessen betragsmässige Festsetzung sei ausschliesslich der bestellte unentgeltliche Anwalt anfechtungslegitimiert. Abgesehen davon, dass die Ausführungen im angefochtenen Urteil der konstanten Rechtsprechung des Bundesgerichtes entsprechen (vgl. Urteile 5P.2002 vom 21. November 2002 E. 1; 5D_145/2007 vom 5. Februar 2008 E. 1.3; 5D_175/2008 vom 6. Februar 2009 E. 1.2; 5D_205/2011 vom 24. Januar 2012 E. 2.3.2; 4D_102/2011 vom 12. März 2012 E. 1; 5A_451/2011 vom 25. Juli 2011 E. 1.2; 5D_54/2014 vom 1. Juli 2014 E. 1.3; 5A_157/2015 vom 12. November 2015 E. 1.3; 4A_511/2015 vom 9. Dezember 2015 E. 1.5; 4A_171/2017 vom 26. September 2017 E. 1.1; 5A_34/2018 vom 21. März 2018 E. 2; 5A_933/2018 vom 1. Februar 2019 E. 1; 5A_1047/2019 vom 3. März 2020 E. 3.1.2; 4A_456/2021 vom 27. Oktober 2021 E. 2.2; 5A_288/2021 vom 21. Juni 2022 E. 1), bleibt die Beschwerde diesbezüglich gänzlich unbegründet; insbesondere lässt sich die fehlende Legitimation der Beschwerdeführerin nicht mit der Behauptung herstellen, durch willkürliche Entschädigungskürzung würden systematisch deren verfassungsrechtliche Ansprüche nach Art. 29 Abs. 3 BV und Art. 6 Abs. 1 EMRK ausgehöhlt. Die weiteren Behauptungen in der Beschwerde sowie in der nachgereichten Ergänzungsschrift beziehen sich auf die konkrete Höhe des Honorares und sind folglich nicht zu hören, weil sie zum einen die Sache selbst statt das vorinstanzliche Nichteintreten betreffen (vgl. E. 3) und zum anderen im Namen der Beschwerdeführerin statt im eigenen Namen erfolgen.</w:t>
      </w:r>
    </w:p>
    <w:p>
      <w:r>
        <w:t>Im Zusammenhang mit den Ausführungen des Kantonsgerichts zum (erhöhten und jederzeit weiter erhöhbaren) Kostendach erfolgen überhaupt keine Ausführungen, weshalb die Beschwerde insofern gänzlich unbegründet bleibt.</w:t>
      </w:r>
    </w:p>
    <w:p>
      <w:r>
        <w:t>Im Zusammenhang mit der Genugtuung beziehen sich die Ausführungen wiederum auf die Sache selbst und nicht auf die Nichteintretenserwägungen des angefochtenen Entscheides (vgl. E. 3), weshalb die Beschwerde auch diesbezüglich unbegründet bleibt.</w:t>
      </w:r>
    </w:p>
    <w:p>
      <w:r>
        <w:rPr>
          <w:b/>
        </w:rPr>
        <w:t>E. 6</w:t>
      </w:r>
    </w:p>
    <w:p>
      <w:r>
        <w:t>Nach dem Gesagten erweist sich die Beschwerde im Hauptpunkt mangels eigener Legitimation der Beschwerdeführerin ( Art. 76 Abs. 1 lit. b BGG ) als offensichtlich unzulässig im Sinn von Art. 108 Abs. 1 lit. a BGG und im Übrigen in jeder Hinsicht als offensichtlich nicht hinreichend begründet im Sinn von Art. 108 Abs. 1 lit. b BGG , weshalb auf sie im entsprechenden vereinfachten Verfahren durch einzelrichterliche Entscheidung nicht einzutreten ist.</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Weil die Festsetzung des Honorars im Vordergrund steht, welche allein den vertretenden Rechtsanwalt betrifft, und im Übrigen nicht klar ist, inwiefern die Eingabe überhaupt von einem eigenen Anfechtungswillen der Beschwerdeführerin getragen ist, zumal für das bundesgerichtliche Verfahren keine neue, sondern eine vom 25. Oktober 2022 datierende und somit aus dem kantonalen Verfahren stammende Anwaltsvollmacht vorgelegt wird, rechtfertigt es sich, die Kosten gestützt auf Art. 66 Abs. 3 BGG dem Urheber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