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5A_128/2019 vom 13. Februar 2019</w:t>
      </w:r>
    </w:p>
    <w:p>
      <w:r>
        <w:t>Bundesgericht, 2019-02-13, DE</w:t>
      </w:r>
    </w:p>
    <w:p>
      <w:r>
        <w:rPr>
          <w:b/>
        </w:rPr>
        <w:t xml:space="preserve">Quelle: </w:t>
      </w:r>
      <w:r>
        <w:t>https://mcp.opencaselaw.ch/entscheid/bger_5A_128_2019</w:t>
      </w:r>
    </w:p>
    <w:p>
      <w:r>
        <w:t>FR: TF 5A_128/2019 du 13 février 2019</w:t>
      </w:r>
    </w:p>
    <w:p>
      <w:r>
        <w:t>IT: TF 5A_128/2019 del 13 febbraio 2019</w:t>
      </w:r>
    </w:p>
    <w:p>
      <w:pPr>
        <w:pStyle w:val="Heading2"/>
      </w:pPr>
      <w:r>
        <w:t>Erwägungen</w:t>
      </w:r>
    </w:p>
    <w:p>
      <w:r>
        <w:rPr>
          <w:b/>
        </w:rPr>
        <w:t>E. 1</w:t>
      </w:r>
    </w:p>
    <w:p>
      <w:r>
        <w:t>Beim angefochtenen Akt handelt es sich um eine superprovisorische Verfügung. Dies ergibt sich aus dem Hinweis auf S. 3 (letztes Lemma) und daraus, dass die Eingabe des Vaters vom 4. Februar 2019 und beidseitige weitere Fax-Eingaben je zur Vernehmlassung zugestellt wurden. Die Mutter hat am 8. Februar 2019 denn auch ihre Vernehmlassung an das Kantonsgericht gesandt, welches demnächst im kontradiktorischen Verfahren entscheiden dürfte.</w:t>
      </w:r>
    </w:p>
    <w:p>
      <w:r>
        <w:t>Superprovisorische Verfügungen sind nach konstanter und mehrfach publizierter Rechtsprechung beim Bundesgericht mangels Ausschöpfung des (weit verstandenen und das nachfolgende kontradiktorische Verfahren umfassenden) Instanzenzuges nicht anfechtbar ( BGE 137 III 417 E. 1.2 S. 418 f.; 139 III 86 E. 1.1.1 S. 87 f., BGE 139 III 516 E. 1.1 S. 518 f.; BGE 140 III 289 E. 1.1 S. 290).</w:t>
      </w:r>
    </w:p>
    <w:p>
      <w:r>
        <w:rPr>
          <w:b/>
        </w:rPr>
        <w:t>E. 2</w:t>
      </w:r>
    </w:p>
    <w:p>
      <w:r>
        <w:t>Nach dem Gesagten erweist sich die Beschwerde als offensichtlich nicht zulässig, weshalb auf sie nicht eingetreten werden kann und der Präsident im vereinfachten Verfahren entscheidet ( Art. 108 Abs. 1 lit. a BGG ).</w:t>
      </w:r>
    </w:p>
    <w:p>
      <w:r>
        <w:t>Mit dem Entscheid in der Sache ist das Gesuch um aufschiebende Wirkung gegenstandslos.</w:t>
      </w:r>
    </w:p>
    <w:p>
      <w:r>
        <w:rPr>
          <w:b/>
        </w:rPr>
        <w:t>E. 3</w:t>
      </w:r>
    </w:p>
    <w:p>
      <w:r>
        <w:t>Nur der Vollständigkeit halber sei festgehalten, dass die Einschränkung bzw. Bezeichnung des Gebietes, in welchem sich das Kind bis zur Rückführung bewegen darf (die Mutter möchte auch den Kanton Zürich beinhaltet haben) und die Pflicht zur regelmässigen Meldung auf dem Polizeiposten (die Mutter sieht dies als Schikane an, weil man dadurch ein zwischen den Meldungen erfolgendes, von ihr aber nicht geplantes Untertauchen gar nicht verhindern könne) vom weiten Ermessen des Sachgerichtes, welchem die Regelung des Vollzuges der Rückführung obliegt ( Art. 11 Abs. 1 BG-KKE , SR 211.222.32) und welches auch Schutzmassnahmen treffen kann ( Art. 6 Abs. 1 BG-KKE ), gedeckt scheint, zumal die Massnahmen sich prima facie als verhältnismässig erweisen und geeignet sind, den Vollzug der Rückführung zu sichern.</w:t>
      </w:r>
    </w:p>
    <w:p>
      <w:r>
        <w:rPr>
          <w:b/>
        </w:rPr>
        <w:t>E. 4</w:t>
      </w:r>
    </w:p>
    <w:p>
      <w:r>
        <w:t>Es werden keine Gerichtskosten erhoben und der Rechtsvertreter der Beschwerdeführerin ist aus der Bundesgerichtskasse zu entschädigen (Art. 26 Abs. 2 HKÜ, SR 0.211.230.02).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