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127/2021 vom 1. Oktober 2021</w:t>
      </w:r>
    </w:p>
    <w:p>
      <w:r>
        <w:t>Bundesgericht, 2021-10-01, FR</w:t>
      </w:r>
    </w:p>
    <w:p>
      <w:r>
        <w:rPr>
          <w:b/>
        </w:rPr>
        <w:t xml:space="preserve">Quelle: </w:t>
      </w:r>
      <w:r>
        <w:t>https://mcp.opencaselaw.ch/entscheid/bger_5A_127_2021</w:t>
      </w:r>
    </w:p>
    <w:p>
      <w:r>
        <w:t>FR: TF 5A 127/2021 du 1 octobre 2021</w:t>
      </w:r>
    </w:p>
    <w:p>
      <w:r>
        <w:t>IT: TF 5A 127/2021 del 1 ottobre 2021</w:t>
      </w:r>
    </w:p>
    <w:p>
      <w:pPr>
        <w:pStyle w:val="Heading2"/>
      </w:pPr>
      <w:r>
        <w:t>Regeste</w:t>
      </w:r>
    </w:p>
    <w:p>
      <w:r>
        <w:t>divorce (entretien de l'enfant mineur) | Droit de la famille</w:t>
      </w:r>
    </w:p>
    <w:p>
      <w:pPr>
        <w:pStyle w:val="Heading2"/>
      </w:pPr>
      <w:r>
        <w:t>Erwägungen</w:t>
      </w:r>
    </w:p>
    <w:p>
      <w:r>
        <w:rPr>
          <w:b/>
        </w:rPr>
        <w:t>E. 1</w:t>
      </w:r>
    </w:p>
    <w:p>
      <w:r>
        <w:t>L'arrêt entrepris est une décision finale ( art. 90 LTF ) prise par un tribunal cantonal supérieur statuant sur recours ( art. 75 al. 1 et 2 LTF ), dans une affaire matrimoniale ( art. 72 al. 1 LTF ) de nature pécuniaire, dont la valeur litigieuse requise est atteinte (art. 51 al. 1 let. a et al. 4, 74 al. 1 let. b LTF). Le recourant, qui a partiellement succombé devant la juridiction précédente, a qualité pour recourir ( art. 76 al. 1 LTF ). Déposé par ailleurs dans le délai ( art. 100 al. 1 LTF )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 supra consid. 2.1).</w:t>
      </w:r>
    </w:p>
    <w:p>
      <w:r>
        <w:rPr>
          <w:b/>
        </w:rPr>
        <w:t>E. 3</w:t>
      </w:r>
    </w:p>
    <w:p>
      <w:r>
        <w:t>Le recourant conclut à ce que le montant de l'entretien convenable de l'enfant C.________ arrêté au chiffre VII du dispositif du jugement de première instance demeure inchangé. Force est toutefois de constater qu'il n'émet aucune critique relative aux coûts directs et indirects de l'enfant retenus par la juridiction précédente, alors qu'il lui appartenait d'exposer les motifs à l'appui de la conclusion prise ( art. 42 al. 2 LTF ; cf. ég. supra consid. 2.1). Partant, celle-ci est irrecevable.</w:t>
      </w:r>
    </w:p>
    <w:p>
      <w:r>
        <w:rPr>
          <w:b/>
        </w:rPr>
        <w:t>E. 4</w:t>
      </w:r>
    </w:p>
    <w:p>
      <w:r>
        <w:t>Le recourant fait grief à la cour cantonale d'avoir constaté les faits relatifs à ses frais de logement de manière manifestement inexacte et incomplète et d'avoir ainsi fait preuve d'arbitraire en ne retenant, au titre de ses charges incompressibles, qu'une part infime des frais de logement qu'il assume effectivement. En tenant compte de l'intégralité de ces frais, son budget mensuel serait déficitaire, de sorte qu'il ne serait pas en mesure de s'acquitter d'une pension en faveur de son fils.</w:t>
      </w:r>
    </w:p>
    <w:p>
      <w:r>
        <w:rPr>
          <w:b/>
        </w:rPr>
        <w:t>E. 4.1</w:t>
      </w:r>
    </w:p>
    <w:p>
      <w:r>
        <w:t>La cour cantonale a retenu qu'au vu des pièces produites par l'appelant, du fait que celui-ci était devenu seul propriétaire de l'ancienne maison conjugale et des allégations de l'intéressé, il était établi que le prêt de 80'000 fr. octroyé par E.________ SA était en lien avec l'acquisition en pleine propriété du bien immobilier sis à V.________, qui avait nécessité la conclusion d'un nouveau prêt hypothécaire. Cela étant, elle a constaté que la dette contractée auprès de E.________ SA servait à la constitution d'un patrimoine et non au règlement de charges d'utilisation, d'entretien ou financières (intérêts hypothécaires, frais bancaires liés au crédit hypothécaire, etc.) liées au logement. Au vu de la situation financière serrée des parties, elle a ainsi jugé qu'il n'était pas admissible d'intégrer dans les charges incompressibles de l'appelant l'amortissement du prêt concédé par E.________ SA pour se constituer un patrimoine foncier, au détriment de son obligation d'entretien envers l'enfant C.________. Quant au montant de 435 fr. allégué au titre des intérêts hypothécaires dus à la Banque D.________, la cour cantonale a retenu, sur la base des pièces produites, que ceux-ci s'élevaient en réalité à 399 fr. 80 ([{1'669 fr. 30 ÷ 127 jours} x 365 jours] ÷ 12 mois), montant qui pouvait être comptabilisé dans les frais mensuels liés au logement de l'appelant. La cour cantonale a par ailleurs constaté que l'annexe au contrat de base pour prêt hypothécaire du 16 janvier 2020 prévoyait que des amortissements indirects devaient être effectués chaque année pour un montant total de 5'583 fr. 50, la première fois le 21 décembre 2020, par le versement de montants de 3'183 fr. 50 sur une assurance-vie de capital 3a conclue au nom de l'appelant auprès de F.________ AG et de 2'400 fr. sur une assurance-vie liée à des fonds conclue au nom de l'appelant auprès de G.________ AG. Au vu de ce document, l'amortissement indirect devant actuellement être effectué via la police conclue auprès de l'assurance F.________ AG était de 265 fr. 30 (3'183 fr. 50 ÷ 12 mois), et non de 272 fr. 30 [recte: 273 fr. 30] comme le prétendait l'appelant. Quoi qu'il en soit, dès lors que, selon la jurisprudence, l'amortissement de la dette hypothécaire n'était en principe pas pris en considération et que la situation financière des parties était serrée, il n'y avait pas lieu de comptabiliser dans les charges de l'appelant la prime d'assurance de prévoyance liée qu'il revendiquait, quand bien même celle-ci était en lien avec l'amortissement indirect de la maison de V.________. En effet, l'appelant était désormais seul propriétaire de ce bien et l'épouse ne tirait aucun bénéfice du maintien du crédit hypothécaire conclu le 16 janvier 2020. En définitive, la cour cantonale a arrêté les frais mensuels de logement de l'appelant au montant arrondi de 682 fr. 20, lequel, outre les intérêts hypothécaires payés à la Banque D.________ [399 fr. 80], tient compte d'autres charges liées au logement résultant des pièces produites (ramonage, impôt foncier, etc.).</w:t>
      </w:r>
    </w:p>
    <w:p>
      <w:r>
        <w:rPr>
          <w:b/>
        </w:rPr>
        <w:t>E. 4.2</w:t>
      </w:r>
    </w:p>
    <w:p>
      <w:r>
        <w:t>S'agissant des versements de 1'050 fr. opérés mensuellement en faveur de la société E.________ SA, le recourant soutient qu'ils comprennent tant les intérêts que l'amortissement du prêt de 80'000 fr. La reconnaissance de dette produite attesterait d'un "intérêt hypothécaire" de 1.5% l'an, ce qui correspondait à un coût mensuel de 100 fr. (80'000 fr. x 1.5% ÷ 12). La cour cantonale n'avait toutefois pas retenu ce montant de 100 fr. au titre de ses frais de logement, ce qui était choquant et contraire au droit et à la jurisprudence, les intérêts hypothécaires faisant partie du minimum vital du droit des poursuites. Dès lors, à l'instar des intérêts hypothécaires mensuellement dus à la Banque D.________, la cour cantonale aurait à tout le moins dû compter ce montant de 100 fr. dans ses charges incompressibles. Cela étant, en refusant de prendre en compte dans ses frais de logement la somme de 1'050 fr. (intérêts de 100 fr. compris) versée mensuellement à la société E.________ SA, les juges cantonaux n'avaient pas pris en considération l'ensemble des circonstances du cas d'espèce, ce qui avait conduit à une décision arbitraire tant dans ses motifs que dans son résultat. Il était en effet légitime que ses frais de logement réels soient pris en compte, ce d'autant qu'ils n'étaient pas disproportionnés, mais étaient justifiés, équivalents à ceux de l'intimée, et non contestés par celle-ci. Le recourant relève que sans prise en compte desdits frais, il allait être en défaut de paiement avec pour conséquence la rupture de ses engagements contractuels (hypothèques, amortissements, etc.) et se verrait contraint de quitter son logement et, certainement, de requérir une modification de la contribution d'entretien en raison du nouveau loyer plus onéreux qu'il serait amené à payer, ce qui était manifestement choquant. Le recourant reproche enfin à la cour cantonale de ne pas avoir pris en compte les amortissements indirects obligatoires au maintien de son logement, dont il s'acquitte mensuellement à raison de 273 fr. 30 envers F.________ AG et de 200 fr. envers G.________ AG. S'agissant du premier montant, c'était arbitrairement que la cour cantonale l'avait arrêté à 265 fr. 30, puisque les pièces produites faisaient toutes état d'un montant de 273 fr. 30, montant qu'il avait toujours allégué, que l'autorité de première instance avait retenu et que l'intimée n'avait jamais contesté. Quoi qu'il en soit, la jurisprudence sur laquelle la cour cantonale s'était basée tendait manifestement à autoriser la prise en considération de l'amortissement de manière exceptionnelle, notamment lorsque sa non-prise en compte conduirait à un résultat arbitraire et choquant, ce qui était le cas en l'espèce. C'était en outre à tort et arbitrairement que la cour cantonale avait retenu que l'intimée ne tirerait aucun bénéfice du maintien du crédit hypothécaire qu'il avait contracté. En effet, le maintien du crédit permettait de limiter ses frais de logement et évitait de grever son budget mensuel incompressible de charges supplémentaires et plus onéreuses. L'intimée y avait tout intérêt, en particulier dans le futur, lorsqu'il serait à même de s'acquitter d'une contribution d'entretien envers son fils. En définitive, le recourant considère qu'il conviendrait d'ajouter aux frais de logement mensuels de 682 fr. 20 retenus par la cour cantonale les sommes de 1'050 fr. (100 fr. + 950 fr.), 273 fr. 30 et 200 fr., soit ses charges de logement réelles assumées à concurrence de 2'205 fr. 50 au total. Le recourant relève encore que l'égalité de traitement aurait dû conduire la cour cantonale à retenir un tel montant, dès lors qu'il correspond à des frais de logement équivalents à ceux de l'intimée.</w:t>
      </w:r>
    </w:p>
    <w:p>
      <w:r>
        <w:rPr>
          <w:b/>
        </w:rPr>
        <w:t>E. 4.3.1</w:t>
      </w:r>
    </w:p>
    <w:p>
      <w:r>
        <w:t>Savoir si un élément peut être inclus dans le calcul des charges d'une partie relève de l'application du droit et non de l'appréciation des preuves; seul le montant effectivement supporté à ce titre est une question de fait (arrêts 5A_129/2021 du 31 mai 2021 consid. 4.1; 5A_246/2019 du 9 juin 2020 consid. 5.1 et les références).</w:t>
      </w:r>
    </w:p>
    <w:p>
      <w:r>
        <w:rPr>
          <w:b/>
        </w:rPr>
        <w:t>E. 4.3.2</w:t>
      </w:r>
    </w:p>
    <w:p>
      <w:r>
        <w:t>La méthode du minimum vital avec répartition de l'excédent, auxquels les juges cantonaux ont eu recours, implique de déterminer les ressources et les besoins des personnes concernées, puis de répartir les ressources en fonction des besoins des ayants droit ( ATF 147 III 265 consid. 6.6 et 7). Pour calculer les besoins des parties, il convient de prendre comme point de départ le minimum vital au sens du droit des poursuites (cf. Lignes directrices pour le calcul du minimum vital du droit des poursuites selon l' art. 93 LP établies par la Conférence des préposés aux poursuites et faillites de Suisse du 1er juillet 2009, publiées in BlSchK 2009 p. 196 ss). Plus la situation financière des parties est serrée, moins le juge devra s'écarter des principes développés pour la détermination du minimum vital au sens de l' art. 93 LP ( ATF 140 III 337 consid. 4.2.3; arrêts 5A_329/2016 du 6 décembre 2016 consid. 4.1; 5A_1029/2015 du 1er juin 2016 consid. 3.3.1.3). Si les moyens financiers le permettent, l'entretien doit être élargi à ce qu'on nomme le minimum vital du droit de la famille, auquel appartiennent typiquement les impôts, les frais de logement correspondant à la situation financière concrète, l'amortissement raisonnable de certaines dettes (cf. infra consid. 4.3.3) ou encore les forfaits pour la télécommunication et les assurances ( ATF 147 III 265 consid. 7.2). Dans des circonstances favorables, il est aussi possible de prendre en compte les primes d'assurance non obligatoires (ATF 147 précité, ibid.).</w:t>
      </w:r>
    </w:p>
    <w:p>
      <w:r>
        <w:rPr>
          <w:b/>
        </w:rPr>
        <w:t>E. 4.3.3</w:t>
      </w:r>
    </w:p>
    <w:p>
      <w:r>
        <w:t>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 ATF 127 III 289 consid. 2a/bb et les références; arrêts 5A_102/2019 du 12 décembre 2019 consid. 3.2.1; 5A_105/2017 du 17 mai 2017 consid. 3.3.1; 5A_608/2011 du 13 décembre 2011 consid. 6.2.3; 5A_682/2008 du 9 mars 2009 consid. 3.1 et les références).</w:t>
      </w:r>
    </w:p>
    <w:p>
      <w:r>
        <w:rPr>
          <w:b/>
        </w:rPr>
        <w:t>E. 4.4</w:t>
      </w:r>
    </w:p>
    <w:p>
      <w:r>
        <w:t>En l'espèce, le recourant ne peut être suivi lorsqu'il reproche à la cour cantonale d'avoir arbitrairement omis de tenir compte d'un montant de 100 fr. à titre d' "intérêts hypothécaires" de la dette contractée auprès de E.________ SA. En effet, il ressort des constatations de l'arrêt querellé ( art. 105 al. 1 LTF ) - non remises en cause par le recourant (cf. supra consid. 2.2) -, que celui-ci a fait valoir un montant de 1'050 fr. "à titre de remboursement d'un prêt consenti pour acquérir le bien immobilier" et que la société prêteuse a confirmé recevoir mensuellement le montant précité de la part du recourant à titre de "remboursement du prêt qu'elle lui a[vait] alloué". Or, il n'est pas insoutenable de considérer que le terme de "remboursement" a trait uniquement à l'amortissement de la dette et non au paiement des intérêts. Cela est d'autant plus vrai qu'en l'espèce, il n'apparaît pas ( art. 105 al. 1 LTF ; ATF 140 III 16 consid. 1.3.1) - et le recourant ne soutient pas le contraire - que celui-ci aurait présenté devant l'autorité précédente le calcul effectué dans son présent recours pour déterminer la part du montant de 1'050 fr. liée au paiement des intérêts, étant précisé que la maxime inquisitoire illimitée - applicable en l'espèce ( art. 296 al. 1 CPC ) - ne le dispensait nullement de collaborer activement à la procédure ( ATF 128 III 411 consid. 3.2.1; arrêt 5A_762/2020 du 9 février 2021 consid. 5). Dès lors que la cour cantonale pouvait sans arbitraire considérer l'entier de ce montant comme un amortissement, il n'est pas nécessaire d'examiner si - comme le soutient le recourant - le paiement des intérêts du prêt consenti par E.________ SA aurait dû être assimilé au paiement d'intérêts hypothécaires et être, à ce titre, inclus dans son minimum vital LP. S'agissant de l'amortissement du prêt octroyé par E.________ SA et des amortissements indirects de l'emprunt hypothécaire contracté auprès de la Banque D.________, le raisonnement de la cour cantonale est en tous points conforme à la jurisprudence susrappelée, de sorte que l'on peut sans autre s'y référer. Le recourant omet - et partant ne remet pas valablement en cause - la constatation des juges cantonaux selon laquelle la situation financière des parties est serrée. Or, selon la jurisprudence constante (cf. supra consid. 4.3.3), ce n'est que lorsque les moyens financiers des époux le permettent, c'est-à-dire uniquement dans le cadre du minimum vital du droit de la famille, que de telles charges sont susceptibles d'être décomptées. Les considérations du recourant - au demeurant guère étayées - quant aux exceptions qu'il conviendrait de ménager au principe énoncé par la jurisprudence tombent donc à faux. En particulier, son argument selon lequel il n'a pas contracté de nouveaux prêts dans son seul intérêt, mais dans le but de conserver son logement et d'éviter ainsi l'augmentation de cette charge et la réduction de sa capacité contributive ne peut être suivi. En effet, le recourant perd de vue que lorsque les revenus (du travail et de la fortune) ne suffisent pas à couvrir l'entretien, on peut, selon les circonstances, attendre du débirentier qu'il entame la substance de sa fortune, en particulier lorsqu'il s'agit de couvrir le minimum vital LP du crédirentier (arrêt 5A_582/2018 du 1er juillet 2021 consid. 6.1.1 et 6.1.6, destinés à la publication). Or, le recourant ne soutient pas que si elle avait été réalisée, la vente de l'ancien logement conjugal ne lui aurait pas permis d'obtenir des liquidités supplémentaires. Il suit de là que la détermination des charges composant les frais de logement du recourant apparaît exempte de toute critique, étant précisé qu'en vertu de la maxime inquisitoire illimitée, il n'est pas décisif que les frais de logement allégués par le recourant n'aient pas été contestés par l'intimée en instance cantonale (cf. parmi d'autres, arrêts 5A_245/2019 du 1er juillet 2019 consid. 3.2.1; 5A_298/2015 du 30 septembre 2015 consid. 2.1.2, publié in RSPC 2016 p. 135). Enfin, si tant est qu'il entende se plaindre d'une violation de l' art. 8 Cst. lorsqu'il fait grief à la cour cantonale d'avoir retenu un montant à titre de frais de logement inférieur au loyer admis pour l'ex-épouse, le recourant oublie que cette garantie constitutionnelle s'adressant à l'État et ne produisant pas d'effet horizontal direct dans les relations entre personnes privées ( ATF 136 I 178 consid. 5.1; 114 Ia 329 consid. 2b et les références), il ne peut s'en prévaloir à l'appui d'un recours dirigé contre une décision rendue dans une affaire matrimoniale opposant deux particuliers. Autant que recevable, le grief doit être rejeté.</w:t>
      </w:r>
    </w:p>
    <w:p>
      <w:r>
        <w:rPr>
          <w:b/>
        </w:rPr>
        <w:t>E. 5</w:t>
      </w:r>
    </w:p>
    <w:p>
      <w:r>
        <w:t>Le recourant conclut également à la suppression de l'avis aux débiteurs dirigé contre lui. Il n'y a toutefois pas lieu d'entrer en matière sur ce point, le recourant n'ayant émis aucune critique à cet égard ( art. 42 al. 2 LTF ; cf. supra consid. 2.1) pour le cas où il ne serait pas libéré du paiement de toute pension.</w:t>
      </w:r>
    </w:p>
    <w:p>
      <w:r>
        <w:rPr>
          <w:b/>
        </w:rPr>
        <w:t>E. 6</w:t>
      </w:r>
    </w:p>
    <w:p>
      <w:r>
        <w:t>En définitive, le recours est rejeté dans la mesure de sa recevabilité. Faute de chances de succès du recours, la requête d'assistance judiciaire ne saurait être agréée ( art. 64 al. 1 LTF ). Les frais judiciaires, arrêtés à 2'000 fr., sont par conséquent mis à la charge du recourant, qui succombe ( art. 66 al. 1 LTF ). Il n'est pas alloué de dépens à l'intimée, qui n'a pas été invitée à répondre ( art. 68 al. 1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