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5A_127/2020 vom 22. April 2021</w:t>
      </w:r>
    </w:p>
    <w:p>
      <w:r>
        <w:t>Bundesgericht, 2021-04-22, FR</w:t>
      </w:r>
    </w:p>
    <w:p>
      <w:r>
        <w:rPr>
          <w:b/>
        </w:rPr>
        <w:t xml:space="preserve">Quelle: </w:t>
      </w:r>
      <w:r>
        <w:t>https://mcp.opencaselaw.ch/entscheid/bger_5A_127_2020</w:t>
      </w:r>
    </w:p>
    <w:p>
      <w:r>
        <w:t>FR: TF 5A_127/2020 du 22 avril 2021</w:t>
      </w:r>
    </w:p>
    <w:p>
      <w:r>
        <w:t>IT: TF 5A_127/2020 del 22 aprile 2021</w:t>
      </w:r>
    </w:p>
    <w:p>
      <w:pPr>
        <w:pStyle w:val="Heading2"/>
      </w:pPr>
      <w:r>
        <w:t>Erwägungen</w:t>
      </w:r>
    </w:p>
    <w:p>
      <w:r>
        <w:rPr>
          <w:b/>
        </w:rPr>
        <w:t>E. 1.1</w:t>
      </w:r>
    </w:p>
    <w:p>
      <w:r>
        <w:t>Le recours est dirigé contre une décision finale ( art. 90 LTF ), prise en dernière instance cantonale et sur recours par un tribunal supérieur ( art. 75 LTF ), dans une contestation civile de nature pécuniaire, dont la cour cantonale admet que la valeur litigieuse est supérieure à 30'000 fr. ( art. 74 al. 1 let. b LTF ); les recourants, qui ont qualité pour recourir ( art. 76 al. 1 LTF ), ont agi à temps ( art. 100 al. 1 LTF ). Le recours en matière civile est ainsi recevable, à l'exclusion du recours constitutionnel subsidiaire ( art. 113 LTF ).</w:t>
      </w:r>
    </w:p>
    <w:p>
      <w:r>
        <w:rPr>
          <w:b/>
        </w:rPr>
        <w:t>E. 1.2</w:t>
      </w:r>
    </w:p>
    <w:p>
      <w:r>
        <w:t>Le recours en matière civile des art. 72 ss LTF est une voie de réforme ( art. 107 al. 2 LTF ), en sorte que le recourant ne peut pas se limiter à demander l'annulation de la décision attaquée et le renvoi de la cause à l'instance cantonale; il doit, sous peine d'irrecevabilité, prendre des conclusions sur le fond du litige ( ATF 137 II 313 consid. 1.3; 134 III 379 consid. 1.3; 133 III 489 consid. 3.1). L'application du principe de la confiance impose toutefois d'interpréter les conclusions à la lumière de la motivation; l'interdiction du formalisme excessif commande, pour sa part, de ne pas se montrer trop strict dans la formulation des conclusions si, à la lecture du mémoire, l'on comprend clairement ce que veut le recourant (parmi plusieurs: arrêt 5A_496/2020 du 23 octobre 2020 consid. 1.3 et la référence).</w:t>
      </w:r>
    </w:p>
    <w:p>
      <w:r>
        <w:t>Les recourants ne prennent ici que des conclusions cassatoires. Bien que celles-ci apparaissent ainsi lacunaires, l'on comprend néanmoins, à la lecture de leur recours, qu'ils souhaitent obtenir le rejet de l'action intentée par leur partie adverse.</w:t>
      </w:r>
    </w:p>
    <w:p>
      <w:r>
        <w:rPr>
          <w:b/>
        </w:rPr>
        <w:t>E. 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3.1</w:t>
      </w:r>
    </w:p>
    <w:p>
      <w:r>
        <w:t>La cour cantonale a indiqué qu'il convenait de procéder à une analyse en deux étapes, la première consistant à examiner de manière théorique si l'activité de maman de jour était compatible avec l'art. 7A du règlement de la PPE; dans la négative, l'activité en question constituait une immission excessive au sens de l' art. 684 CC et tombait alors sous le coup de l'illicéité; dans l'affirmative, il convenait d'examiner si l'activité litigieuse était concrètement excessive.</w:t>
      </w:r>
    </w:p>
    <w:p>
      <w:r>
        <w:rPr>
          <w:b/>
        </w:rPr>
        <w:t>E. 3.2</w:t>
      </w:r>
    </w:p>
    <w:p>
      <w:r>
        <w:t>Excluant une interprétation subjective du règlement, la cour cantonale a procédé à une interprétation objective de celui-ci, pour en conclure que l'activité de garde d'enfants violait son art. 7A, 2ème phr. Cette disposition démontrait clairement que la tranquillité de l'immeuble devait être préservée et n'autorisait l'exercice d'une activité professionnelle que si celle-ci ne causait aucun désagrément, quel qu'il soit. Or la garde d'enfants était par essence de nature à causer une gêne aux autres propriétaires en termes de tranquillité, de bruit et de trépidation - nombreux va-et-vient des parents et des enfants eux-mêmes, bruits et trépidations liés à leur présence. Incompatible avec le règlement de la PPE, l'activité de garde d'enfants était illicite et en conséquence excessive au sens de l' art. 684 CC , sans qu'il fût nécessaire d'examiner concrètement son caractère abusif.</w:t>
      </w:r>
    </w:p>
    <w:p>
      <w:r>
        <w:t>Confrontant au surplus le présent litige avec la situation d'une famille nombreuse qui occuperait un appartement dans l'immeuble, la cour cantonale a notamment relevé que cette seconde situation devrait être autorisée au sens du règlement, singulièrement de son art. 7A, 1ère phr.; contrairement à l'exercice de l'activité litigieuse, les abus éventuels d'une telle famille devraient alors être envisagés concrètement, sous l'angle de la seconde étape du raisonnement susmentionné.</w:t>
      </w:r>
    </w:p>
    <w:p>
      <w:r>
        <w:rPr>
          <w:b/>
        </w:rPr>
        <w:t>E. 4</w:t>
      </w:r>
    </w:p>
    <w:p>
      <w:r>
        <w:t>Les recourants contestent l'interprétation que la cour cantonale a donné à l'art. 7A du règlement de la PPE. Ils reprochent par ailleurs aux juges cantonaux d'avoir érigé en faits notoires que la présence d'enfants occasionnerait une gêne pour les autres propriétaires d'étages et que les va-et-vient de ceux-là et de leurs parents constitueraient une entrave à la tranquillité: une telle appréciation, nullement démontrée en fait, nécessiterait une procédure probatoire usuelle.</w:t>
      </w:r>
    </w:p>
    <w:p>
      <w:r>
        <w:rPr>
          <w:b/>
        </w:rPr>
        <w:t>E. 4.1.1</w:t>
      </w:r>
    </w:p>
    <w:p>
      <w:r>
        <w:t>Selon l' art. 684 al. 1 CC , le propriétaire est tenu, dans l'exercice de son droit, spécialement dans ses travaux d'exploitation industrielle, de s'abstenir de tout excès au détriment de la propriété du voisin. Sont en particulier interdits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 art. 684 al. 2 CC ).</w:t>
      </w:r>
    </w:p>
    <w:p>
      <w:r>
        <w:t>Pour délimiter les immissions qui sont admissibles de celles qui sont inadmissibles, c'est-à-dire excessives, l'intensité de l'atteinte est déterminante. Cette intensité doit être appréciée selon des critères objectifs. Le juge doit procéder à une pesée impartiale des intérêts en présence et doit se fonder à cet égard sur la sensibilité d'un sujet de droit ordinaire se trouvant dans la situation considérée. Statuant selon les règles du droit et de l'équité ( art. 4 CC ), le juge ne doit pas examiner seulement la situation et la nature de l'immeuble, mais aussi l'usage local, comme le prévoit expressément l' art. 684 al. 2 CC . Il doit évaluer l'intérêt concret et individuel du propriétaire ainsi que la pertinence de tous les éléments du cas d'espèce. Sur ce point, il convient de garder à l'esprit que l' art. 684 CC , en tant que règle du droit privé de voisinage, tend en premier lieu à l'équilibre des intérêts des voisins ( ATF 138 III 49 consid. 4.4.5; 132 III 49 consid. 2.1; 126 III 223 consid. 4a; cf. également arrêt 5D_91/2020 du 7 septembre 2020 consid. 3.1).</w:t>
      </w:r>
    </w:p>
    <w:p>
      <w:r>
        <w:rPr>
          <w:b/>
        </w:rPr>
        <w:t>E. 4.1.2</w:t>
      </w:r>
    </w:p>
    <w:p>
      <w:r>
        <w:t>Entre copropriétaires d'étages, les relations de voisinage entre lots privatifs relèvent de l' art. 712a al. 2 CC (PIOTET, in Commentaire romand, Code civil II, 2016, n. 17 ad art. 684 CC ; HAAS, Stockwerkeigentum und Nachbarrecht, in Luzerner Tag des Stockwerkeigentums 2012, 1 ss, p. 18 s.; cf. également MEIER-HAYOZ/REY, Berner Kommentar, 1988, n. 76 ad art. 712a CC ; PRADERVAND-KERNEN, Propriété par étages et droit de voisinage, in Bohnet/Carron (éd.), PPE 2017, p. 133 ss, n. 40). Aux termes de cette dernière disposition, qui constitue en réalité un renvoi aux règles du droit de voisinage, singulièrement aux art. 679 et 684 ss CC (MEIER-HAYOZ/REY, op. cit., n. 74 ad art. 712a CC ; PIOTET, op. cit., ibid.; cf. également: WERMELINGER, L'utilisation de l'unité d'étage dans un immeuble en propriété par étages, 1992, p. 292), le copropriétaire a le pouvoir d'administrer, d'utiliser et d'aménager ses locaux</w:t>
      </w:r>
    </w:p>
    <w:p>
      <w:r>
        <w:t>dans la mesure où il ne restreint pas l'exercice du droit des autres copropriétaires, n'endommage pas les parties, ouvrages et installations communs du bâtiment, n'entrave pas leur utilisation ou n'en modifie pas l'aspect extérieur.</w:t>
      </w:r>
    </w:p>
    <w:p>
      <w:r>
        <w:t>Les propriétaires d'étages peuvent par ailleurs convenir de restrictions à leur liberté d'utilisation de leurs parties exclusives dans l'acte constitutif de la propriété par étages, dans le règlement prévu à l' art. 712g al. 3 CC , dans le règlement de maison ou dans une décision</w:t>
      </w:r>
    </w:p>
    <w:p>
      <w:r>
        <w:t>ad hoc de la communauté ( ATF 144 III 19 consid. 4.1; 139 III 1 consid. 4.3.1 et les références; 111 II 330 consid. 7); ces restrictions sont également déterminantes afin d'arrêter le caractère éventuellement excessif des immissions constatées, lequel se déterminera alors en fonction de la volonté exprimée par la communauté des propriétaires d'étages (WERMELINGER, op. cit., p. 294 et 310 ss, parle de " droit de voisinage conventionnel "; cf. également: HAAS, op. cit., p. 18 s.; PRADERVAND-KERNEN, op. cit., n. 40). Le règlement d'administration et d'utilisation s'interprète selon les principes de l'interprétation contractuelle, singulièrement selon le principe de la confiance ( ATF 144 III 19 consid. 4.1 et les références citées; sur les notions d'interprétation subjective et objective du contrat: cf. ATF 144 III 93 consid. 5.2.2 et 5.2.3).</w:t>
      </w:r>
    </w:p>
    <w:p>
      <w:r>
        <w:rPr>
          <w:b/>
        </w:rPr>
        <w:t>E. 4.1.3</w:t>
      </w:r>
    </w:p>
    <w:p>
      <w:r>
        <w:t>Les conflits entre propriétaires d'étages, résultant du fait que l'un d'eux excède son droit exclusif garanti par l' art. 712a al. 1 CC , sont sanctionnés par l' art. 679 CC (supra consid. 4.1.2 [renvoi de l' art. 712a CC aux art. 679 et 684 ss CC ]; MEIER-HAYOZ/REY, op. cit., n. 74 ad art. 712a CC ; REY/STREBEL, in Basler Kommentar, 6e éd. 2019, n. 17 ad art. 684 CC ; BOVEY, in Commentaire romand, Code civil II, 2016, n. 14 ad art. 679 CC et les références; PIOTET, op. cit., n. 17 ad art. 684 CC ; WERMELINGER, op. cit., p. 306; cf. implicitement ATF 106 II 315 consid. 2; arrêts 5C.16/2007 du 22 mars 2007 consid. 3.2; 5C.168/2003 du 17 février 2004 consid. 4.3; 5C.218/1990 du 15 novembre 1991 consid. 2).</w:t>
      </w:r>
    </w:p>
    <w:p>
      <w:r>
        <w:rPr>
          <w:b/>
        </w:rPr>
        <w:t>E. 4.2</w:t>
      </w:r>
    </w:p>
    <w:p>
      <w:r>
        <w:t>Les propriétaires d'étages ont ici convenu une restriction à leur liberté d'utilisation de leurs parties exclusives dans le règlement de la PPE. L'art. 7A dudit règlement prévoit ainsi que les locaux sont destinés à l'habitation et que l'exercice d'une profession n'est autorisé que dans la mesure où " il ne nuit pas à la bonne tenue et à la tranquillité de l'immeuble, qu'il n'apporte aucune gêne aux autres propriétaires par étage, notamment en raison du bruit, des odeurs et des trépidations. "</w:t>
      </w:r>
    </w:p>
    <w:p>
      <w:r>
        <w:rPr>
          <w:b/>
        </w:rPr>
        <w:t>E. 4.2.1</w:t>
      </w:r>
    </w:p>
    <w:p>
      <w:r>
        <w:t>Il s'agit dès lors de déterminer si l'activité de " maman de jour " est compatible avec cette restriction conventionnelle de la liberté d'utilisation des parties exclusives. A juste titre, la cour cantonale a procédé à une interprétation objective de l'article précité, à défaut de tout élément permettant d'arrêter la volonté réelle des parties au moment d'établir le règlement. C'est ainsi inutilement que les recourants se réfèrent à leur volonté subjective, fondée sur des faits qui ne ressortent pas de l'arrêt entrepris ( art. 99 al. 1 LTF ).</w:t>
      </w:r>
    </w:p>
    <w:p>
      <w:r>
        <w:rPr>
          <w:b/>
        </w:rPr>
        <w:t>E. 4.2.2</w:t>
      </w:r>
    </w:p>
    <w:p>
      <w:r>
        <w:t>Comme l'a constaté la cour cantonale, l'exercice d'une activité professionnelle dans l'immeuble litigieux, destiné à l'habitation, a été sensiblement restreint, seule étant admise une activité professionnelle ne causant aucun désagrément susceptible de nuire à la tranquillité de l'immeuble; dans le cadre de la procédure en annulation de la décision de l'assemblée générale des propriétaires d'étages modifiant l'art. 7A du règlement de la PPE, la Cour de céans a par ailleurs établi qu'au regard de la petite structure de l'immeuble - trois étages, trois appartements/lots -, l'art. 7A du règlement dans sa version initiale faisait de la tranquillité des personnes y résidant un élément essentiel; l'exercice éventuel d'une activité professionnelle dans le bâtiment devait ainsi être conforme à cette exigence (arrêt 5A_98/2017 du 27 juin 2017 consid. 3.3; supra let. B.a.a).</w:t>
      </w:r>
    </w:p>
    <w:p>
      <w:r>
        <w:t>La recourante dispose ici d'une autorisation lui permettant d'accueillir à titre professionnel jusqu'à cinq écoliers simultanément. Or il faut admettre, en se fondant sur l'expérience générale de la vie, que la garde de plusieurs jeunes enfants dans un appartement est susceptible d'entraver la tranquillité du voisinage, que ce soit en termes de bruit ou de trépidations. Cette appréciation générale à laquelle parvient la cour cantonale sans pour autant la qualifier, constitue bien plutôt une règle d'expérience qu'un fait notoire comme paraissent l'avoir compris les recourants; tout comme celui-ci, elle ne nécessite cependant pas d'être prouvée ( art. 151 CPC ). Les remarques des recourants quant au caractère non généralisable de cette appréciation, à la nécessité d'une procédure probatoire sur ce point et à la constatation arbitraire des faits à cet égard sont en conséquence toutes vaines. Ainsi que le souligne l'intimée, l'on relèvera que les recourants ne se sont d'ailleurs pas trompés sur le caractère incompatible de l'activité envisagée au regard de la disposition réglementaire litigieuse en tentant de la modifier pour y intégrer l'autorisation expresse d'exercer l'activité d'accueillante agréée en milieu familial et y supprimer les exigences relatives à la tranquillité de l'immeuble dans l'exercice des professions admissibles en son sein (arrêt 5A_98/2017 précité). Qu'ils aient tenté d'introduire cette modification au moment où leur partie adverse se serait plainte de l'activité exercée par la recourante et non au moment où celle-ci l'aurait initiée n'est à cet égard nullement déterminant.</w:t>
      </w:r>
    </w:p>
    <w:p>
      <w:r>
        <w:t>Il est enfin précisé, ce que les recourants semblent méconnaître, que l'exigence de tranquillité est exclusivement envisagée au regard de l'activité professionnelle autorisée par le règlement; la question de l'installation d'une famille nombreuse dans l'immeuble - conforme à la destination de celui-ci, à savoir l'habitation - ne souffre ainsi aucune confrontation avec la situation litigieuse. L'intimée le relève d'ailleurs à juste titre. L'incohérence relevée par les recourants entre les immissions occasionnées par des enfants selon que l'on se situe dans un contexte privé ou professionnel est inhérente à la restriction réglementaire qui trouve ici application.</w:t>
      </w:r>
    </w:p>
    <w:p>
      <w:r>
        <w:rPr>
          <w:b/>
        </w:rPr>
        <w:t>E. 5</w:t>
      </w:r>
    </w:p>
    <w:p>
      <w:r>
        <w:t>Les recourants se plaignent également de la violation de leur droit d'être entendus ( art. 29 al. 2 Cst. ).</w:t>
      </w:r>
    </w:p>
    <w:p>
      <w:r>
        <w:rPr>
          <w:b/>
        </w:rPr>
        <w:t>E. 5.1</w:t>
      </w:r>
    </w:p>
    <w:p>
      <w:r>
        <w:t>Ils reprochent à la cour cantonale de ne pas avoir défini la notion de tranquillité, celle-ci étant pourtant à leur sens compatible avec la celle de bruit. Par cette argumentation, les recourants tentent de revenir sur la compatibilité de l'activité professionnelle de la recourante avec le règlement, question scellée par le considérant précédent sans qu'il soit nécessaire d'y revenir.</w:t>
      </w:r>
    </w:p>
    <w:p>
      <w:r>
        <w:rPr>
          <w:b/>
        </w:rPr>
        <w:t>E. 5.2</w:t>
      </w:r>
    </w:p>
    <w:p>
      <w:r>
        <w:t>Pour autant qu'on les comprenne, ils prétendent également à cet égard que la cour cantonale se serait abstenue d'examiner sous l'angle du fait notoire les nuisances qu'occasionnerait prétendument l'activité de la recourante. Cette argumentation, en contradiction totale avec celle qu'ils développent en tête de leur recours (consid. 4 supra), est également définitivement réglée par le considérant qui précède; il n'y a pas lieu de s'y arrêter.</w:t>
      </w:r>
    </w:p>
    <w:p>
      <w:r>
        <w:rPr>
          <w:b/>
        </w:rPr>
        <w:t>E. 6</w:t>
      </w:r>
    </w:p>
    <w:p>
      <w:r>
        <w:t>Dans un dernier grief, les recourants invoquent l'atteinte à leur liberté économique ( art. 27 Cst. ). La référence à cette dernière disposition ne leur est cependant d'aucun secours dès lors que, de jurisprudence constante, ce sont les lois civiles et pénales qui protègent l'individu contre les atteintes que d'autres sujets de droit privé pourraient porter à ses droits constitutionnels: les recourants ne peuvent dès lors se prévaloir directement de la liberté économique dans une cause relevant des droits réels (cf. ATF 143 I 217 consid. 5.2 et la jurisprudence citée).</w:t>
      </w:r>
    </w:p>
    <w:p>
      <w:r>
        <w:rPr>
          <w:b/>
        </w:rPr>
        <w:t>E. 7</w:t>
      </w:r>
    </w:p>
    <w:p>
      <w:r>
        <w:t>En définitive, le recours constitutionnel subsidiaire est irrecevable; le recours en matière civile est rejeté dans la mesure de sa recevabilité. Les frais judiciaires et les dépens sont mis à la charge des recourants, solidairement entre eux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