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5A_127/2017 vom 29. Juni 2017</w:t>
      </w:r>
    </w:p>
    <w:p>
      <w:r>
        <w:t>Bundesgericht, 2017-06-29, FR</w:t>
      </w:r>
    </w:p>
    <w:p>
      <w:r>
        <w:rPr>
          <w:b/>
        </w:rPr>
        <w:t xml:space="preserve">Quelle: </w:t>
      </w:r>
      <w:r>
        <w:t>https://mcp.opencaselaw.ch/entscheid/bger_5A_127_2017</w:t>
      </w:r>
    </w:p>
    <w:p>
      <w:r>
        <w:t>FR: TF 5A_127/2017 du 29 juin 2017</w:t>
      </w:r>
    </w:p>
    <w:p>
      <w:r>
        <w:t>IT: TF 5A_127/2017 del 29 giugno 2017</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Une critique des faits qui ne satisfait pas à cette exigence est irrecevable ( art. 106 al. 2 LTF ; ATF 141 IV 249 consid. 1.3.1; 140 III 264 consid. 2.3 et les références).</w:t>
      </w:r>
    </w:p>
    <w:p>
      <w:r>
        <w:rPr>
          <w:b/>
        </w:rPr>
        <w:t>E. 3.1</w:t>
      </w:r>
    </w:p>
    <w:p>
      <w:r>
        <w:t>Dans son arrêt du 5 novembre 2015, l'autorité cantonale a retenu que l'épouse serait à l'avenir vraisemblablement taxée sur le revenu, et non plus sur la dépense. Compte tenu de ses dépenses totales (hors impôts) de 48'576 fr. par mois, la charge fiscale mensuelle à prendre en compte dans le calcul de la contribution d'entretien en sa faveur était estimée à 19'000 fr., selon le calculateur de l'administration cantonale des impôts du canton de Vaud (ci-après: le calculateur de l'ACI), de sorte que la pension mensuelle en faveur de l'épouse pouvait être arrêtée au montant arrondi de 67'600 fr.</w:t>
      </w:r>
    </w:p>
    <w:p>
      <w:r>
        <w:t>Ensuite de l'arrêt de renvoi rendu par le Tribunal fédéral, l'autorité cantonale a notamment procédé à une nouvelle estimation de la charge fiscale de la recourante. Elle a tout d'abord établi à nouveau les charges, hors impôts, de l'épouse, qu'elle a arrêtées au montant arrondi de 51'728 fr. Elle a ensuite fixé les pensions en faveur de chacune des filles à 3'000 fr. par mois. Sur cette base, elle a estimé le montant des impôts qu'il convenait de prendre en compte dans les charges de l'épouse. Pour ce faire, elle a, dans un premier temps, évalué la charge fiscale sur la base des contributions hors impôts versées en faveur de la recourante et des enfants. Selon le calculateur de l'ACI, un revenu annuel de 692'736 fr. (12 x [51'728 fr. + 3'000 fr. + 3'000 fr.]) et une fortune de 250'000 fr. occasionnaient une charge fiscale annuelle de 281'510 fr. 15, à savoir 23'459 fr. 20 par mois. La juridiction précédente a, dans un second temps, additionné la charge fiscale ainsi calculée au revenu de la recourante et retenu qu'en définitive, un revenu annuel de 974'246 fr. 15 (692'736 fr. + 281'510 fr. 15) occasionnerait une charge fiscale annuelle de 405'151 fr. 80, à savoir 33'762 fr. par mois. La cour cantonale a ainsi estimé que le montant de la contribution d'entretien qui devait permettre à l'épouse de maintenir son train de vie tout en s'acquittant de ses impôts s'élevait à 85'490 fr. (51'728 fr. + 33'762 fr.), montant arrondi à 86'000 fr. par mois.</w:t>
      </w:r>
    </w:p>
    <w:p>
      <w:r>
        <w:rPr>
          <w:b/>
        </w:rPr>
        <w:t>E. 3.2</w:t>
      </w:r>
    </w:p>
    <w:p>
      <w:r>
        <w:t>La recourante se plaint de ce que la décision entreprise serait arbitraire ( art. 9 Cst. ), tant dans ses motifs que dans son résultat, en tant qu'elle intègre dans les charges mensuelles de l'épouse un montant de 33'762 fr. d'impôts, partant, qu'elle fixe la contribution d'entretien en sa faveur à 86'000 fr. La charge fiscale retenue ne lui permettrait pas de maintenir son train de vie, le calcul effectué par la cour cantonale créant une " insuffisance de pension hors impôts " de 3'652 fr. par mois. En effet, en additionnant la charge fiscale retenue par la cour cantonale (33'762 fr.) et le montant des contributions d'entretien (hors impôts) en faveur de l'épouse et des enfants (51'728 fr. + 3'000 fr. + 3'000 fr.), les pensions, impôts compris, s'élèvent au total à 91'490 fr. par mois (1'097'880 fr. par an). Or, la méthode d'estimation de la charge fiscale retenue par la cour cantonale ne tiendrait pas compte du supplément d'impôts induit par la différence de revenu annuel imposable de 123'633 fr. 85 (1'097'880 fr. - 974'246 fr. 15 [cf.</w:t>
      </w:r>
    </w:p>
    <w:p>
      <w:r>
        <w:t>supra consid. 3.1]). Selon le calculateur de l'ACI, un revenu annuel imposable de 1'097'880 fr. entraînerait une charge fiscale de 455'085 fr. par an, à savoir 37'924 fr. par mois. Après acquittement des impôts, il resterait donc 48'076 fr. par mois à l'épouse (86'000 fr. - 37'924 fr.), montant insuffisant pour couvrir les autres charges nécessaires au maintien de son train de vie, arrêtées à 51'728 fr. Compte tenu du taux d'imposition (ICC + IFD) de 41,5 %, les revenus mensuels de 57'728 fr. (51'728 fr. + 3'000 fr. + 3'000 fr.) devraient représenter 58,5% du montant total des pensions, impôts compris. Celui-ci s'élèverait dès lors à 98'680 fr. par mois, comprenant une charge fiscale mensuelle de 40'952 fr. (41,5% de 98'680 fr.), calcul confirmé par le calculateur de l'ACI (à 502 fr. près, compte tenu d'un rabais d'impôt IFD pris en compte par le calculateur). Après déduction des pensions en faveur des filles de 3'000 fr. chacune, la recourante aurait ainsi droit à une contribution d'entretien mensuelle de 92'680 fr., à arrondir à 92'700 fr., et non de 86'000 fr., comme l'aurait retenu arbitrairement la cour cantonale.</w:t>
      </w:r>
    </w:p>
    <w:p>
      <w:r>
        <w:rPr>
          <w:b/>
        </w:rPr>
        <w:t>E. 3.3</w:t>
      </w:r>
    </w:p>
    <w:p>
      <w:r>
        <w:t>Selon l'arrêt de renvoi de la Cour de céans (arrêt 5A_165/2016 du 11 octobre 2016 consid. 8.3), les impôts constituent en l'espèce une composante du montant nécessaire au maintien du train de vie de la recourante, au vu de l'application - incontestée - de la méthode du train de vie pour calculer la contribution d'entretien en faveur de l'épouse et dès lors qu'avant la séparation, seul l'époux subvenait aux besoins du couple. Dans ce contexte, la contribution d'entretien fixée doit permettre à la recourante de maintenir le train de vie qui était le sien durant la vie commune, tout en s'acquittant des impôts dus sur ce revenu. En d'autres termes, la charge fiscale doit être estimée de sorte à ce que l'épouse puisse jouir, après acquittement des impôts, d'un montant couvrant toutes les autres charges nécessaires au maintien de son train de vie (cf. arrêt 5A_789/2015 du 30 mai 2016 consid. 3 et 5 pour un exemple de calcul).</w:t>
      </w:r>
    </w:p>
    <w:p>
      <w:r>
        <w:t>En l'occurrence, comme le soutient à juste titre la recourante, la charge fiscale arrêtée ne permet pas à l'épouse de maintenir son train de vie. En effet, la cour cantonale ne tient pas compte, dans son estimation, de l'incidence fiscale du revenu supplémentaire - non négligeable - de 10'302 fr. 80 par mois qu'elle alloue à la recourante au terme de son raisonnement (33'762 fr. - 23'459 fr. 20; cf.</w:t>
      </w:r>
    </w:p>
    <w:p>
      <w:r>
        <w:t>supra consid. 3.1). Afin de se conformer à l'arrêt de renvoi, l'autorité cantonale aurait dû estimer la charge fiscale de sorte à ce que la recourante dispose effectivement, après acquittement des impôts sur la totalité de ses revenus, d'un montant couvrant l'ensemble de ses autres charges, arrêtées définitivement à 51'728 fr. Compte tenu de ces éléments, l'estimation litigieuse est, en l'espèce, insoutenable.</w:t>
      </w:r>
    </w:p>
    <w:p>
      <w:r>
        <w:t>Au demeurant, on ne saurait reprocher à la recourante de n'avoir pas fait valoir plus précisément en instance cantonale le montant qu'elle réclame devant le Tribunal fédéral, dès lors qu'elle ne pouvait le calculer plus avant sans savoir quel montant serait retenu par la juridiction précédente pour ses autres charges.</w:t>
      </w:r>
    </w:p>
    <w:p>
      <w:r>
        <w:t>Au vu de ce qui précède, le grief est fondé et le recours doit être admis. Le calcul effectué par la recourante ne saurait toutefois être examiné par la Cour de céans, dès lors qu'il ne tient notamment pas compte de l'élément de fortune retenu par la juridiction précédente. La cause est ainsi renvoyée à celle-ci pour nouvelle estimation de la charge fiscale de l'épouse.</w:t>
      </w:r>
    </w:p>
    <w:p>
      <w:r>
        <w:rPr>
          <w:b/>
        </w:rPr>
        <w:t>E. 4</w:t>
      </w:r>
    </w:p>
    <w:p>
      <w:r>
        <w:t>En conclusion, le recours est admis, la décision attaquée est annulée et l'affaire est renvoyée à l'autorité précédente pour nouvelle décision dans le sens des considérants. L'intimé, qui a été invité à présenter ses observations mais n'a formulé aucune conclusion devant le Tribunal fédéral, est néanmoins réputé avoir succombé et supportera ainsi les frais judiciaires ( art. 66 al. 1 LTF ; ATF 123 V 156 consid. 3; arrêt 5A_1006/2015 du 2 août 2016 consid. 6). Il versera en outre à la recourante une indemnité de dépens ( art. 68 al. 1 et 2 LTF ). Il appartiendra à la juridiction précédente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