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125/2015 vom 30. Juli 2015</w:t>
      </w:r>
    </w:p>
    <w:p>
      <w:r>
        <w:t>Bundesgericht, 2015-07-30, FR</w:t>
      </w:r>
    </w:p>
    <w:p>
      <w:r>
        <w:rPr>
          <w:b/>
        </w:rPr>
        <w:t xml:space="preserve">Quelle: </w:t>
      </w:r>
      <w:r>
        <w:t>https://mcp.opencaselaw.ch/entscheid/bger_5A_125_2015</w:t>
      </w:r>
    </w:p>
    <w:p>
      <w:r>
        <w:t>FR: TF 5A 125/2015 du 30 juillet 2015</w:t>
      </w:r>
    </w:p>
    <w:p>
      <w:r>
        <w:t>IT: TF 5A 125/2015 del 30 luglio 2015</w:t>
      </w:r>
    </w:p>
    <w:p>
      <w:pPr>
        <w:pStyle w:val="Heading2"/>
      </w:pPr>
      <w:r>
        <w:t>Regeste</w:t>
      </w:r>
    </w:p>
    <w:p>
      <w:r>
        <w:t>déplacement de borne (en vue d'un nouveau plan du registre foncier) | Droits réels</w:t>
      </w:r>
    </w:p>
    <w:p>
      <w:pPr>
        <w:pStyle w:val="Heading2"/>
      </w:pPr>
      <w:r>
        <w:t>Erwägungen</w:t>
      </w:r>
    </w:p>
    <w:p>
      <w:r>
        <w:rPr>
          <w:b/>
        </w:rPr>
        <w:t>E. 1</w:t>
      </w:r>
    </w:p>
    <w:p>
      <w:r>
        <w:t>Le Tribunal fédéral examine d'office et librement la recevabilité des recours qui lui sont soumis ( ATF 140 IV 57 consid. 2).</w:t>
      </w:r>
    </w:p>
    <w:p>
      <w:r>
        <w:rPr>
          <w:b/>
        </w:rPr>
        <w:t>E. 1.1</w:t>
      </w:r>
    </w:p>
    <w:p>
      <w:r>
        <w:t>La décision entreprise a été rendue par une autorité administrative en matière de mensuration cadastrale, domaine connexe au droit civil ( art. 72 al. 2 let. b LTF ; cf. arrêts 5A_413/2013 du 30 août 2013 consid. 1; 5A_649/2010 du 18 novembre 2010 consid. 1.1). C'est donc par la voie du recours en matière civile que les recourants auraient dû agir auprès du Tribunal de céans. La désignation erronée de la voie de droit ne saurait toutefois leur nuire si leur recours remplit les exigences légales de la voie de droit qui leur est ouverte ( ATF 138 I 367 consid. 1.1; 133 I 300 consid. 1.2 p. 302 s.).</w:t>
      </w:r>
    </w:p>
    <w:p>
      <w:r>
        <w:rPr>
          <w:b/>
        </w:rPr>
        <w:t>E. 1.2</w:t>
      </w:r>
    </w:p>
    <w:p>
      <w:r>
        <w:t>Contrairement à ce que laissent entendre les recourants, la cause est de nature pécuniaire dès lors que ceux-ci tendent en définitive à défendre les limites de leur propriété privée et, ainsi, implicitement, leurs intérêts patrimoniaux (sur la notion d'affaire pécuniaire: ATF 118 II 528 consid. 2c; 116 II 380 consid. 2a). Faute de motivation sur ce point, l'on ignore si la valeur litigieuse de 30'000 fr. est atteinte ( art. 74 al. 1 let. b LTF ); en l'absence de données chiffrées et de tout élément concret d'appréciation, qu'il incombait aux recourants de fournir ( ATF 136 III 60 consid. 1.1.1; 140 III 571 consid. 1.2), le Tribunal fédéral n'est pas en mesure de fixer lui-même la valeur litigieuse (cf. ATF 136 III 60 consid. 1.1.1; 140 III 471 consid. 1.2). Le recours en matière civile est en conséquence irrecevable sous l'angle de l' art. 74 al. 1 let. b LTF . Les recourants ne prétendent pas (art. 42 al. 2, 2 ème phrase, LTF) que la contestation soulèverait une question juridique de principe ( art. 74 al. 2 let. a LTF ), circonstance permettant de déroger à l'exigence de la valeur litigieuse: le recours en matière civile n'est pas non plus recevable au regard de cette dernière disposition.</w:t>
      </w:r>
    </w:p>
    <w:p>
      <w:r>
        <w:rPr>
          <w:b/>
        </w:rPr>
        <w:t>E. 1.3</w:t>
      </w:r>
    </w:p>
    <w:p>
      <w:r>
        <w:t>La voie du recours constitutionnel subsidiaire est cependant ouverte aux recourants qui invoquent la violation de droits constitutionnels ainsi que l'arbitraire dans l'application de l'art. 3 de la loi vaudoise du 28 octobre 2008 sur la procédure administrative (ci-après: LPA-VD; RSV 173.36; art. 113 LTF ). Leur recours sera ainsi traité comme tel ( ATF 138 I 367 consid. 1).</w:t>
      </w:r>
    </w:p>
    <w:p>
      <w:r>
        <w:rPr>
          <w:b/>
        </w:rPr>
        <w:t>E. 1.4</w:t>
      </w:r>
    </w:p>
    <w:p>
      <w:r>
        <w:t>Celui-ci a été déposé en temps utile ( art. 46 al. 1 let . c, 100 al. 1 et 117 LTF) contre une décision rendue par une autorité supérieure cantonale statuant sur recours ( art. 75 et 114 LTF ), et les recourants, qui ont pris part à l'instance précédente, démontrent un intérêt juridique à la modification de la décision attaquée ( art. 115 LTF ).</w:t>
      </w:r>
    </w:p>
    <w:p>
      <w:r>
        <w:rPr>
          <w:b/>
        </w:rPr>
        <w:t>E. 1.5</w:t>
      </w:r>
    </w:p>
    <w:p>
      <w:r>
        <w:t>Ainsi qu'il le sera constaté ci-après (consid. 3 infra ), les motifs développés par la cour cantonale pour conclure à l'irrecevabilité du recours qui lui était adressé permettent de retenir qu'elle a en réalité rejeté celui-ci. La question de savoir si la décision entreprise constitue ainsi une décision finale - la décision met définitivement fin aux prétentions des recourants quant à leur possibilité d'agir sur le déplacement de bornes ( art. 90 et 117 LTF ) - ou incidente - la décision ne constitue qu'une étape vers l'issue de la procédure de mensuration officielle, au cours de laquelle les recourants pourront intervenir ( art. 93 et 117 LTF ) - peut demeurer indécise dès lors que les intéressés invoquent le grief de déni de justice formel: il est ainsi renoncé à l'exigence du préjudice irréparable ( ATF 138 IV 258 consid. 1.1; 134 IV 43 consid. 2.2).</w:t>
      </w:r>
    </w:p>
    <w:p>
      <w:r>
        <w:rPr>
          <w:b/>
        </w:rPr>
        <w:t>E. 2.1</w:t>
      </w:r>
    </w:p>
    <w:p>
      <w:r>
        <w:t>Seule la violation des droits constitutionnels peut être invoquée à l'appui d'un recours constitutionnel subsidiaire ( art. 116 LTF ). Selon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133 III 439 consid. 3.2). Il contrôle sous l'angle de l'arbitraire l'application des dispositions législatives ou réglementaires fédérales ou cantonales (cf. ATF 139 I 169 consid. 6.1; 138 I 242 consid. 5.2; 136 I 265 consid. 2.3; 135 I 302 consid. 1.2). De jurisprudence constante, une décision est arbitraire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137 I 1 consid. 2.4).</w:t>
      </w:r>
    </w:p>
    <w:p>
      <w:r>
        <w:rPr>
          <w:b/>
        </w:rPr>
        <w:t>E. 2.2</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 art. 106 al. 2 LTF ),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585 consid. 4.1 et les arrêts cités). Il convient ainsi d'emblée d'écarter les allégations et appréciations des recourants qui ne trouvent aucun appui dans la décision attaquée - notamment: l'empressement malvenu de l'autorité intimée; le fait que la procédure menée par celle-ci s'écarterait de la normalité; le traitement plus favorable dont bénéficierait certains administrés - sans qu'ils démontrent, conformément aux exigences légales ( art. 106 al. 2 LTF ), en quoi ces précisions seraient admissibles.</w:t>
      </w:r>
    </w:p>
    <w:p>
      <w:r>
        <w:rPr>
          <w:b/>
        </w:rPr>
        <w:t>E. 3</w:t>
      </w:r>
    </w:p>
    <w:p>
      <w:r>
        <w:t>Après avoir défini le terme " décision ", la cour cantonale a relevé que l'acte attaqué par les recourants était une lettre de l'OIT qui faisait suite à plusieurs échanges avec les intéressés et qui confirmait l'ordre de déplacer deux signes de démarcation. Contrairement à ce que soutenaient les recourants, cet acte n'avait pas pour effet de créer, modifier ou supprimer un rapport de droit entre eux et l'administration et n'était donc pas une décision au sens de l' art. 3 LPA -VD. Le déplacement des bornes litigieuses ne constituait en réalité qu'une étape en vue de l'établissement du nouveau plan du registre foncier. Il n'avait pas pour effet d'atteindre les intéressés dans leur droit de propriété, les limites figurant sur le plan l'emportant sur la démarcation sur le terrain ( art. 668 CC ). C'était ainsi au stade de la mise à l'enquête publique du nouveau plan du registre foncier (art. 28 de l'ordonnance fédérale du 18 novembre 1992 sur la mensuration officielle [OMO; RS 211.432.2]; art. 29 de la loi vaudoise du 8 mai 2012 sur la géoinformation [LGéo-VD; RSV 510.62]) que les recourants pourraient faire valoir leurs contestations. Contrairement ensuite à ce qu'ils soutenaient, leur situation dans la perspective d'une procédure civile contre leur voisin ne serait pas péjorée s'ils attendaient la mise à l'enquête: que les bornes fussent déplacées maintenant ou à la fin de la mensuration officielle, c'était bien aux intéressés qu'il incomberait d'ouvrir action pour contester la position du bureau D.________ (art. 29 al. 2 dernière phrase LGéo-VD). Par cette motivation, la cour cantonale a en conséquence implicitement rejeté le grief de déni de justice formel soulevé par les recourants devant elle en jugeant que la question litigieuse devait être traitée lors d'une phase ultérieure de la mensuration officielle: les intéressés ne pouvaient ainsi prétendre à l'octroi d'une décision à ce stade de la procédure.</w:t>
      </w:r>
    </w:p>
    <w:p>
      <w:r>
        <w:rPr>
          <w:b/>
        </w:rPr>
        <w:t>E. 4.1.1</w:t>
      </w:r>
    </w:p>
    <w:p>
      <w:r>
        <w:t>Dans un premier grief, les recourants affirment qu'il serait manifestement erroné de dénier la qualité de décision au courrier que leur avait adressé le Géomètre cantonal le 24 mars 2014. Ils reprochent ainsi aux juges cantonaux d'avoir procédé à une application arbitraire de l' art. 3 LPA -VD, soutenant en substance que le courrier litigieux aurait un impact sur leur situation juridique dès lors que le déplacement des bornes en cause porterait atteinte à leur droit de propriété.</w:t>
      </w:r>
    </w:p>
    <w:p>
      <w:r>
        <w:rPr>
          <w:b/>
        </w:rPr>
        <w:t>E. 4.1.2</w:t>
      </w:r>
    </w:p>
    <w:p>
      <w:r>
        <w:t>Aux termes de l' art. 92 LPA -VD, le Tribunal cantonal connaît des recours contre les décisions et décisions sur recours rendues par les autorités administratives, lorsque la loi ne prévoit aucune autre autorité pour en connaître. Constitue une décision au sens de l' art. 3 al. 1 LPA -VD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w:t>
      </w:r>
    </w:p>
    <w:p>
      <w:r>
        <w:rPr>
          <w:b/>
        </w:rPr>
        <w:t>E. 4.1.3</w:t>
      </w:r>
    </w:p>
    <w:p>
      <w:r>
        <w:t>Les recourants se limitent à simplement opposer leur propre point de vue au raisonnement développé par la cour cantonale, sans motiver le leur conformément aux exigences posées par l' art. 106 al. 2 LTF (cf. supra consid. 2.1). En se bornant à affirmer l'atteinte à leur situation juridique de propriétaires et, ainsi, la qualité de décision du courrier rédigé le 24 mars 2014 par le Géomètre cantonal, ils ne nient pas la primauté du plan sur les démarcations implantées sur le terrain, ne démentent pas que l'implantation des bornes ne constitue qu'une étape en vue de l'établissement du nouveau plan du registre foncier, ni ne contestent disposer de la possibilité de faire valoir leurs objections ultérieurement, au stade de la mise à l'enquête publique du nouveau plan du registre foncier, arguments précisément retenus par les magistrats cantonaux pour écarter l'atteinte juridique invoquée et le caractère décisionnel du courrier litigieux.</w:t>
      </w:r>
    </w:p>
    <w:p>
      <w:r>
        <w:rPr>
          <w:b/>
        </w:rPr>
        <w:t>E. 4.2</w:t>
      </w:r>
    </w:p>
    <w:p>
      <w:r>
        <w:t>Se fondant sur une application analogique de l'art. 25a de la loi fédérale sur la procédure administrative (ci-après: PA; RS 172.021), disposition permettant à toute personne justifiant d'un intérêt digne de protection de demander une décision portant sur un acte matériel, ainsi que sur les art. 29a Cst. et 6 § 1 CEDH , les recourants soutiennent qu'ils disposaient d'un droit à obtenir une décision formelle relative au déplacement des bornes. Ils affirment qu'en déclarant irrecevable leur recours, la cour cantonale aurait ainsi perpétué le déni de justice formel que l'autorité administrative aurait initié en refusant de rendre la décision sollicitée ( art. 29 al. 1 Cst. et 27 al. 1 et 2 Cst.-Vaud). La décision cantonale a implicitement statué sur le déni de justice formel invoqué par les recourants en considérant que les intéressés ne pouvaient pas exiger une décision formelle à ce stade, mais devaient plutôt faire valoir leurs contestations ultérieurement, lors de la mise à l'enquête publique du nouveau plan du registre foncier, le déplacement des bornes litigieuses ne constituant en effet qu'une étape en vue de l'établissement dudit plan. Or, ainsi qu'il l'a été constaté plus haut (consid. 4.1.3), les recourants ne démontrent pas, conformément aux exigences posées par les art. 106 al. 2 et 117 LTF , que ce raisonnement procéderait de l'arbitraire. Quant au moyen développé sur l'application analogique de l' art. 25a PA , ainsi que sur celle des art. 29a Cst. et 6 § 1 CEDH (droit de demander une décision portant sur un acte matériel), il n'a jamais été invoqué en instance cantonale, de sorte que, conformément aux principes de la bonne foi et de l'épuisement des griefs (art. 114 en relation avec l' art. 75 al. 1 LTF ), ce moyen est irrecevable devant le Tribunal de céans (au sujet du recours fondé sur l' art. 98 LTF : ATF 133 III 638 consid. 2; arrêts 5A_261/2009 du 1 er septembre 2009 consid. 1.3, non publié aux ATF 135 III 608 ; 5A_577/2010 du 18 octobre 2010 consid. 1.2, publié in SJ 2011 I p. 101; 5A_871/2009 du 2 juin 2010 consid. 2).</w:t>
      </w:r>
    </w:p>
    <w:p>
      <w:r>
        <w:rPr>
          <w:b/>
        </w:rPr>
        <w:t>E. 5</w:t>
      </w:r>
    </w:p>
    <w:p>
      <w:r>
        <w:t>Le recours, traité comme un recours constitutionnel subsidiaire, est rejeté dans la mesure de sa recevabilité. Les frais sont mis à la charge des recourants, solidairement entre eux ( art. 66 al. 1 et 5 LTF ). L'intimé n'a droit à aucun dépens pour sa détermination sur la requête d'effet suspensif ( art. 68 al. 3 LTF ), étant de surcroît précisé qu'il a conclu à son rejet alors que dite requête a été admise par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