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5A_124/2017 vom 14. Februar 2017</w:t>
      </w:r>
    </w:p>
    <w:p>
      <w:r>
        <w:t>Bundesgericht, 2017-02-14, DE</w:t>
      </w:r>
    </w:p>
    <w:p>
      <w:r>
        <w:rPr>
          <w:b/>
        </w:rPr>
        <w:t xml:space="preserve">Quelle: </w:t>
      </w:r>
      <w:r>
        <w:t>https://mcp.opencaselaw.ch/entscheid/bger_5A_124_2017</w:t>
      </w:r>
    </w:p>
    <w:p>
      <w:r>
        <w:t>FR: TF 5A_124/2017 du 14 février 2017</w:t>
      </w:r>
    </w:p>
    <w:p>
      <w:r>
        <w:t>IT: TF 5A_124/2017 del 14 febbraio 2017</w:t>
      </w:r>
    </w:p>
    <w:p>
      <w:pPr>
        <w:pStyle w:val="Heading2"/>
      </w:pPr>
      <w:r>
        <w:t>Erwägungen</w:t>
      </w:r>
    </w:p>
    <w:p>
      <w:r>
        <w:rPr>
          <w:b/>
        </w:rPr>
        <w:t>E. 1</w:t>
      </w:r>
    </w:p>
    <w:p>
      <w:r>
        <w:t>A.________ (Klägerin) klagte am 14. Januar 2015 gegen ihre Nachbarn B.B.________ und C.B.________ (Beklagte) mit dem sinngemässen Begehren auf Beseitigung übermässiger Immissionen; die Nachbarn seien zu verpflichten, eine umweltfreundlichere Heizung zu wählen. Das Kreisgericht Toggenburg wies die Klage am 23. Juni 2015 ab. Mit Urteil vom 18. Dezember 2015 hiess das Kantonsgericht St. Gallen die von der Klägerin erhobene Beschwerde gut und wies die Sache zur Ergänzung des Sachverhalts und zu neuem Entscheid an die erste Instanz zurück. Am 17. Juni 2016 wies der Einzelrichter des Kreisgerichts die Klage nach Ergänzung der tatsächlichen Feststellungen erneut ab. Auf die von der Klägerin gegen dieses Urteil erhobene Beschwerde trat die Einzelrichterin des Kantonsgerichts St. Gallen am 6. Januar 2017 nicht ein. Die Klägerin (Beschwerdeführerin) hat am 11. Februar 2017 (Postaufgabe) beim Bundesgericht gegen den Entscheid der Einzelrichterin des Kantonsgerichts Beschwerde erhoben. Sie ersucht sinngemäss um Aufhebung des angefochtenen Entscheides und um Gutheissung der Klage.</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Die Einzelrichterin hat zusammengefasst erwogen, es fehle in der Beschwerdeschrift an einer sachbezogenen Auseinandersetzung mit den eingehenden Ausführungen des vorinstanzlichen Entscheides. Die Beschwerdeführerin habe in der Beschwerdeschrift weder dargetan, weshalb der angefochtene Entscheid in der Feststellung des Sachverhalts gravierende und entscheidrelevante Mängel aufweise, noch habe sie sich mit der ausführlichen Begründung des vorinstanzlichen Entscheides auseinandergesetzt, wonach die angesprochenen Immissionen nach Ermessen der Vorinstanz nicht als übermässig im Sinn von Art. 684 ZGB gelten würden und damit von der Beschwerdeführerin zu dulden seien. Mangels hinreichender Begründung sei daher auf die Beschwerde nicht einzutreten.</w:t>
      </w:r>
    </w:p>
    <w:p>
      <w:r>
        <w:rPr>
          <w:b/>
        </w:rPr>
        <w:t>E. 2.3</w:t>
      </w:r>
    </w:p>
    <w:p>
      <w:r>
        <w:t>Die Beschwerdeführerin zeigt in ihren Ausführungen nicht anhand der Erwägungen des angefochtenen Urteils auf, inwiefern die Vorinstanz den Sachverhalt willkürlich oder sonst wie gegen Bundesrecht verstossend festgestellt bzw. mit dem Nichteintreten Bundesrecht oder ihre verfassungsmässigen Rechte verletzt haben soll.</w:t>
      </w:r>
    </w:p>
    <w:p>
      <w:r>
        <w:rPr>
          <w:b/>
        </w:rPr>
        <w:t>E. 3</w:t>
      </w:r>
    </w:p>
    <w:p>
      <w:r>
        <w:t>Auf die offensichtlich nicht hinreichend begründete Beschwerde ist somit im vereinfachten Verfahren durch den Präsidenten der Abteilung (Art. 108 Abs. 1 bzw. Art. 108 Abs. 1 b BGG )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