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124/2016 vom 17. August 2016</w:t>
      </w:r>
    </w:p>
    <w:p>
      <w:r>
        <w:t>Bundesgericht, 2016-08-17, FR</w:t>
      </w:r>
    </w:p>
    <w:p>
      <w:r>
        <w:rPr>
          <w:b/>
        </w:rPr>
        <w:t xml:space="preserve">Quelle: </w:t>
      </w:r>
      <w:r>
        <w:t>https://mcp.opencaselaw.ch/entscheid/bger_5A_124_2016</w:t>
      </w:r>
    </w:p>
    <w:p>
      <w:r>
        <w:t>FR: TF 5A 124/2016 du 17 août 2016</w:t>
      </w:r>
    </w:p>
    <w:p>
      <w:r>
        <w:t>IT: TF 5A 124/2016 del 17 agosto 2016</w:t>
      </w:r>
    </w:p>
    <w:p>
      <w:pPr>
        <w:pStyle w:val="Heading2"/>
      </w:pPr>
      <w:r>
        <w:t>Regeste</w:t>
      </w:r>
    </w:p>
    <w:p>
      <w:r>
        <w:t>avis au tiers débiteur (art. 99 LP) | Droit des poursuites et faillites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Sous réserve des hypothèses de l' art. 17 al. 3 LP , seule une mesure de l'office (art. 17 s. LP) est susceptible d'une plainte à l'autorité cantonale (supérieure) de surveillance. La recevabilité du recours au Tribunal fédéral ( art. 19 LP en relation avec l' art. 72 al. 2 let. a LTF ) suppose que la décision de l'autorité cantonale (supérieure) de surveillance statue sur les conclusions formulées contre une telle mesure (arrêt 5A_308/2011 du 8 septembre 2011 consid. 1.1 et les références).</w:t>
      </w:r>
    </w:p>
    <w:p>
      <w:r>
        <w:rPr>
          <w:b/>
        </w:rPr>
        <w:t>E. 1.2</w:t>
      </w:r>
    </w:p>
    <w:p>
      <w:r>
        <w:t>Pour juger de la recevabilité du recours, le Tribunal fédéral ne se fonde pas sur l'intitulé du prononcé entrepris, mais son contenu ( ATF 136 III 200 consid. 2.3.3). Il n'est pas lié par une entrée en matière ou une non-entrée en matière de l'autorité cantonale (cf. arrêt 5A_579/2014 du 18 août 2014 consid. 1 non publié aux ATF 140 III 529 ; 116 Ia 396 consid. 1; cf. aussi: arrêt 5P.127/1997 du 6 août 1997 consid. 1b non publié aux ATF 123 II 419 ).</w:t>
      </w:r>
    </w:p>
    <w:p>
      <w:r>
        <w:rPr>
          <w:b/>
        </w:rPr>
        <w:t>E. 2.1</w:t>
      </w:r>
    </w:p>
    <w:p>
      <w:r>
        <w:t>Il convient préalablement de qualifier " l'avis concernant la saisie d'une créance ( art. 99 LP ) " envoyé à la Banque le 18 août 2015, selon lequel l'Office déclarait saisir auprès de cette dernière les avoirs de la débitrice poursuivie et prévenait cet établissement qu'il ne pourrait désormais s'acquitter qu'en mains de l'office. Selon l' art. 99 LP ,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 de justice et donc soustraits à sa libre disposition (art. 96 al. 1 in fine LP; ATF 109 III 11 consid. 2;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soustrait ainsi à l'exécution ( ATF 115 III 109 consid. 2a; 109 III 11 consid. 2; 107 III 67 consid. 1 et les arrêts cités). L'avis au tiers débiteur de l' art. 99 LP suppose une saisie valablement exécutée (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 art. 90 LP ) intervenant dès l'obtention des informations permettant d'individualiser les actifs du débiteur en mains de tiers. La mesure de sûreté ainsi prise, avant même que le poursuivi n'ait été avisé de la saisie, l'est à titre de mesures provisionnelles ( ATF 115 III 41 consid. 2; 107 III 67 consid. 2; ANDRÉ A. LEBRECHT, in Basler Kommentar, Bundesgesetz über Schuldbetreibung und Konkurs I, Art. 1-158 SchKG, 2e éd., 2010, no 9 ad art. 99 LP ; NICOLAS DE GOTTRAU, in Commentaire romand, Poursuite et faillite, 2005, n o 9 ad art. 99 LP ). En l'espèce, l'avis du 18 août 2015 a été adressé à la Banque. L'Office y ordonne la saisie des comptes de la débitrice poursuivie et prévient l'établissement bancaire qu'il ne pourra plus s'exécuter qu'en mains de l'office. Or, la débitrice poursuivie n'a été avisée que le 30 septembre 2015 que la saisie serait exécutée le 15 octobre suivant. L'avis du 18 août 2015 apparaît ainsi clairement comme une mesure de sûreté selon l' art. 99 LP prise à titre provisionnel.</w:t>
      </w:r>
    </w:p>
    <w:p>
      <w:r>
        <w:rPr>
          <w:b/>
        </w:rPr>
        <w:t>E. 2.2</w:t>
      </w:r>
    </w:p>
    <w:p>
      <w:r>
        <w:t>La décision du 30 septembre 2015 contre laquelle la plainte a été formée a été rendue à la suite d'un échange d'écritures entre l'Office et la débitrice poursuivie ainsi que ses représentants, celle-là contestant la saisissabilité de ses biens au regard de l' art. 92 al. 1 ch. 11 LP (immunité d'exécution). Le prononcé maintient la saisie ordonnée dans l'avis précité du 18 août 2015.</w:t>
      </w:r>
    </w:p>
    <w:p>
      <w:r>
        <w:rPr>
          <w:b/>
        </w:rPr>
        <w:t>E. 3.1</w:t>
      </w:r>
    </w:p>
    <w:p>
      <w:r>
        <w:t>Par " mesure " de l'office au sens des art. 17 s. LP, il faut entendre tout acte d'autorité accompli par l'office ou par un organe de la poursuite en exécution d'une mission officielle dans une affaire concrète ( ATF 129 III 400 consid. 1.1; 128 III 156 consid. 1c et les références). L'acte de poursuite doit être de nature à créer, modifier ou supprimer une situation du droit de l'exécution forcée dans l'affaire en question ( ATF 129 III 400 consid. 1.1). En d'autres termes, il doit s'agir d'un acte matériel qui a pour but la continuation ou l'achèvement de la procédure d'exécution forcée et qui produit des effets externes (parmi l'abondante casuistique: ATF 116 III 91 consid. 1).</w:t>
      </w:r>
    </w:p>
    <w:p>
      <w:r>
        <w:rPr>
          <w:b/>
        </w:rPr>
        <w:t>E. 3.2</w:t>
      </w:r>
    </w:p>
    <w:p>
      <w:r>
        <w:t>En l'espèce, dès lors qu'il ordonnait la saisie à titre provisionnel des comptes de la recourante auprès de la Banque, il ne fait aucun doute que l'avis selon l' art. 99 LP notifié le 18 août 2015 ne constituait pas seulement un avis ou une déclaration d'ordre général (cf. ATF 116 III 91 consid. 1; 85 III 90 consid. 2), mais une mesure de l'office au sens de l' art. 17 LP susceptible de plainte. Le fait qu'il n'indiquait pas les voies de droit est sans importance, cette obligation échéant " aux autorités cantonales de surveillance ", et non à l'office, à teneur de l' art. 20a al. 2 ch. 4 LP (arrêt 5A_934/2012 du 12 mars 2013 consid. 3.1; 5A_65/2012 du 23 janvier 2012 qui se réfère à l'arrêt 7B.75/2006 du 6 juillet 2006 consid. 2.2.2). D'un autre côté, la décision du 30 septembre 2015 de maintenir cette saisie provisionnelle ne saurait être considérée comme une nouvelle décision indépendante. Il n'appert pas qu'il y ait eu des éléments nouveaux de nature à modifier l'appréciation antérieure de l'office ( ATF 35 I 208 consid. 1; cf. par exemple: ATF 133 II 580 ). A cet égard, la question de l'immunité d'exécution ne saurait être qualifiée de circonstance nouvelle, la qualité d'Etat étranger de la débitrice poursuivie étant connue de l'office qui avait déjà vu une de ses décisions être contestée sous l'angle de l'immunité de juridiction. La décision du 30 septembre 2015 n'apparaît que comme la simple confirmation d'une décision déjà prise antérieurement, à savoir de la saisie ordonnée à titre provisionnel le 18 août 2015. Or, selon la jurisprudence, une décision de l'office refusant de revenir sur une mesure prise antérieurement par lui n'est pas le point de départ d'un nouveau délai de plainte et ne constitue pas une nouvelle décision susceptible de plainte ( ATF 29 I 233 consid. 2; 113 III 26 consid. 1; arrêt 7B.72/1998 du 24 avril 1998 consid. 1; LORANDI, Betreibungsrechtliche Beschwerde und Nichtigkeit, Kommentar zu den Artikeln 13-30 SchKG, 2000, n os 48, 54 et 326 ad art. 17 LP ). Il en découle que la " décision " du 30 septembre 2015 ne pouvait faire l'objet d'une plainte, laquelle aurait dû être déposée, en temps utile, contre l'avis du 18 août 2015.</w:t>
      </w:r>
    </w:p>
    <w:p>
      <w:r>
        <w:rPr>
          <w:b/>
        </w:rPr>
        <w:t>E. 3.3</w:t>
      </w:r>
    </w:p>
    <w:p>
      <w:r>
        <w:t>L'autorité de surveillance, qui a méconnu ces considérations, a jugé que la plainte avait été déposée contre une nouvelle décision indépendante et, partant, l'a rejetée au fond. Le Tribunal fédéral n'est toutefois pas lié par cette entrée en matière (cf. supra, consid. 1.2). Comme il n'y a pas de décision attaquable au fond, le recours en matière civile au Tribunal fédéral est irrecevable (cf. supra, consid. 1.1). En outre, il n'y a pas lieu de corriger l'arrêt entrepris qui rejette la plainte au lieu de la déclarer irrecevable, faute d'un intérêt démontré ou manifeste à cette correction (cf. ATF 112 III 1 ).</w:t>
      </w:r>
    </w:p>
    <w:p>
      <w:r>
        <w:rPr>
          <w:b/>
        </w:rPr>
        <w:t>E. 4</w:t>
      </w:r>
    </w:p>
    <w:p>
      <w:r>
        <w:t>Vu ce qui précède, la recourante, qui succombe, supportera les frais de la procédure ( art. 66 al. 1 LTF ). Il n'y a pas lieu d'allouer de dépens à l'intimé qui ne s'est pas déterminé sur la requête d'effet suspensif et a renoncé à répondre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