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5A_123/2012 vom 28. Juni 2012</w:t>
      </w:r>
    </w:p>
    <w:p>
      <w:r>
        <w:t>Bundesgericht, 2012-06-28, DE</w:t>
      </w:r>
    </w:p>
    <w:p>
      <w:r>
        <w:rPr>
          <w:b/>
        </w:rPr>
        <w:t xml:space="preserve">Quelle: </w:t>
      </w:r>
      <w:r>
        <w:t>https://mcp.opencaselaw.ch/entscheid/bger_5A_123_2012</w:t>
      </w:r>
    </w:p>
    <w:p>
      <w:r>
        <w:t>FR: TF 5A_123/2012 du 28 juin 2012</w:t>
      </w:r>
    </w:p>
    <w:p>
      <w:r>
        <w:t>IT: TF 5A_123/2012 del 28 giugno 2012</w:t>
      </w:r>
    </w:p>
    <w:p>
      <w:pPr>
        <w:pStyle w:val="Heading2"/>
      </w:pPr>
      <w:r>
        <w:t>Erwägungen</w:t>
      </w:r>
    </w:p>
    <w:p>
      <w:r>
        <w:rPr>
          <w:b/>
        </w:rPr>
        <w:t>E. 1</w:t>
      </w:r>
    </w:p>
    <w:p>
      <w:r>
        <w:t>Der Beschwerdeführer beantragt dem Bundesgericht neu, die Scheidungskonvention der Parteien vom 29. März 2012 gerichtlich zu genehmigen und die Beschwerde infolge Vergleichs als gegenstandslos von der Kontrolle abzuschreiben. Die Beschwerdegegnerin schliesst sich dem Antrag an.</w:t>
      </w:r>
    </w:p>
    <w:p>
      <w:r>
        <w:rPr>
          <w:b/>
        </w:rPr>
        <w:t>E. 1.1</w:t>
      </w:r>
    </w:p>
    <w:p>
      <w:r>
        <w:t>Unter Herrschaft des Bundesrechtspflegegesetzes von 1943 (BS 3 351) hat das Bundesgericht im Verfahren der eidgenössischen Berufung neu eingereichte Vereinbarungen der Ehegatten über die Scheidungsfolgen geprüft und gerichtlich genehmigt, und zwar unabhängig davon, ob eine Vereinbarung die der freien Verfügung der Ehegatten unterliegenden vermögensrechtlichen Fragen betraf (z.B. Beschlüsse 5C.28/2001 und 5C.34/2001 vom 28. Mai 2002 [Güterrecht]; Urteil 5C.41/1993 vom 13. April 1993 [Güterrecht]; Urteil 5C.165/1993 vom 26. Oktober 1993 [nachehelicher Unterhalt]; Beschluss 5C.252/1991 vom 20. Mai 1992 [nachehelicher Unterhalt]) oder sich auch auf die von der Offizialmaxime beherrschten Kinderbelange bezog (z.B. Urteil 5C.183/2002 vom 24. Februar 2003; Urteil 5C.112/1990 vom 7. September 1990). Wo die Ehegatten nach Erhebung der eidgenössischen Berufung eine Vereinbarung über die Scheidungsfolgen geschlossen, aber einem kantonalen Sachgericht zur Genehmigung eingereicht haben, hat das Bundesgericht das Verfahren praxisgemäss sistiert und nach Vorliegen der Genehmigung als erledigt abgeschrieben (z.B. Verfügung 5C.252/1995 vom 8. März 1996). Den jeweiligen Berufungsantrag, die neu eingereichte Vereinbarung über die Scheidungsfolgen gerichtlich zu genehmigen und das Verfahren abzuschreiben, hat das Bundesgericht als prozessualen Antrag behandelt und nicht als neues, im Verfahren der eidgenössischen Berufung unzulässiges Begehren ( Art. 55 Abs. 1 lit. b OG ; allgemein: MESSMER/IMBODEN, Die eidgenössischen Rechtsmittel in Zivilsachen, 1992, S. 152/153 bei/in Anm. 15 mit Hinweisen). Anträge, die das Rechtsmittelverfahren betreffen, müssen notwendigerweise im Rechtsmittelverfahren gestellt werden können, auch wenn sie neu sind (vgl. GULDENER, Schweizerisches Zivilprozessrecht, 3. Aufl. 1979, S. 489 in Anm. 45).</w:t>
      </w:r>
    </w:p>
    <w:p>
      <w:r>
        <w:rPr>
          <w:b/>
        </w:rPr>
        <w:t>E. 1.2</w:t>
      </w:r>
    </w:p>
    <w:p>
      <w:r>
        <w:t>An der bisherigen Praxis ist nach Inkrafttreten des Bundesgesetzes über das Bundesgericht (Bundesgerichtsgesetz, BGG; SR 173.110) grundsätzlich festzuhalten, so dass gerichtliche Vergleiche in der Regel weiterhin dem Bundesgericht zur Genehmigung unterbreitet werden können, verbunden mit dem Antrag, das Verfahren durch Vergleich erledigt abzuschreiben. Zum einen sind Nova, die das Prozessrechtsverhältnis betreffen, weder neue Tatsachen und Beweismittel ( Art. 99 Abs. 1 BGG ) noch neue Begehren ( Art. 99 Abs. 2 BGG ) und vor Bundesgericht deshalb voraussetzungslos zulässig (vgl. LORENZ MEYER, Wege zum Bundesgericht - Übersicht und Stolpersteine, ZBJV 146/2010 S. 797 ff., S. 880 Ziff. 6.5.5 mit Hinweisen). Zum anderen unterscheidet sich die Beschwerde in Zivilsachen in diesem Punkt nicht von der bisherigen eidgenössischen Berufung, so dass sich eine Änderung der Rechtsprechung auch deswegen nicht aufdrängt.</w:t>
      </w:r>
    </w:p>
    <w:p>
      <w:r>
        <w:rPr>
          <w:b/>
        </w:rPr>
        <w:t>E. 1.3</w:t>
      </w:r>
    </w:p>
    <w:p>
      <w:r>
        <w:t>Allerdings ist bezüglich der Vereinbarungen über die Scheidungsfolgen eine Präzisierung angebracht. Reichen die Parteien dem Bundesgericht einen gerichtlichen Vergleich ein, kann das Bundesgericht das Verfahren zufolge Vergleichs als gegenstandslos abschreiben, soweit der Vergleich das Verfahren auch tatsächlich erledigt ( Art. 73 BZP i.V.m. Art. 71 BGG ; vgl. Art. 32 Abs. 2 BGG ). Das Bundesgericht prüft den eingereichten Vergleich insoweit auf Vollständigkeit und Klarheit (vgl. Urteil 5A_828/2010 vom 28. März 2011 E. 4.1). Diese Prüfung kann aufgrund der Akten und der Parteieingaben erfolgen. Die Vereinbarung über die Scheidungsfolgen ist kein Vergleich in diesem Sinn. Sie bedarf zu ihrer Gültigkeit der gerichtlichen Genehmigung. Die erteilte Genehmigung bewirkt, dass die Vereinbarung über die Scheidungsfolgen ihren vertraglichen Charakter verliert und vollständiger Bestandteil des Urteils wird (vgl. BGE 105 II 166 E. 1 S. 168 f.; 119 II 297 E. 3b S. 301). Die Vereinbarung über die Scheidungsfolgen ist nicht nur auf ihre Vollständigkeit und Klarheit zu prüfen, sondern zusätzlich auf ihre rechtliche Zulässigkeit und ihre sachliche Angemessenheit, wobei die Prüfung der Angemessenheit beschränkt ist, soweit lediglich die vermögensrechtlichen Scheidungsfolgen zwischen den Ehegatten infrage stehen (vgl. BGE 102 II 65 E. 2 S. 68; 99 II 359 E. 3c S. 362). In der Regel kann das Bundesgericht die Genehmigungsvoraussetzungen aufgrund der Akten und der Parteieingaben selbstständig prüfen. In diesem Fall rechtfertigt es sich, das Verfahren wie bisher unmittelbar vor Bundesgericht abzuschliessen. Wie es sich verhält, wenn die Prüfung der Vereinbarung über die Scheidungsfolgen erschwert oder ausgeschlossen ist, was namentlich in Kinderbelangen der Fall sein kann, braucht hier nicht geklärt zu werden.</w:t>
      </w:r>
    </w:p>
    <w:p>
      <w:r>
        <w:rPr>
          <w:b/>
        </w:rPr>
        <w:t>E. 2</w:t>
      </w:r>
    </w:p>
    <w:p>
      <w:r>
        <w:t>Hauptstreitpunkt im Rechtsmittelverfahren war die güterrechtliche Auseinandersetzung. Die Parteien haben sich darauf geeinigt, dass der Beschwerdeführer Fr. 55'000.-- an die Beschwerdegegnerin bezahlt und damit alle Forderungen der Beschwerdegegnerin (Güterrecht, ausstehende Alimente bis und mit März 2012, Parteientschädigungen und Kosten) erfüllt. Die Vereinbarung kann in diesem Punkt genehmigt werden.</w:t>
      </w:r>
    </w:p>
    <w:p>
      <w:r>
        <w:rPr>
          <w:b/>
        </w:rPr>
        <w:t>E. 3</w:t>
      </w:r>
    </w:p>
    <w:p>
      <w:r>
        <w:t>Mit der güterrechtlichen Auseinandersetzung verbunden ist die Regelung der Ansprüche aus beruflicher Vorsorge. Der Anspruch der Beschwerdegegnerin beläuft sich gemäss den bezirksgerichtlichen Feststellungen auf Fr. 173'289.30 (E. 3c S. 10). Eine Überweisung der Austrittsleistung in dieser Höhe war nicht durchführbar, weil der Beschwerdeführer am 30. April 2002 einen Vorbezug für den Erwerb von selbst genutztem Wohneigentum im Betrag von Fr. 194'885.-- getätigt hatte und weil sich die Parteien im Rahmen der Scheidung nicht auf einen Verkauf der in ihrem hälftigen Miteigentum stehenden Liegenschaft einigen konnten (E. 3 S. 9 ff. und Dispositiv-Ziff. 5 des bezirksgerichtlichen Urteils). Die Parteien haben sich vor Bundesgericht darauf geeinigt, dass der Beschwerdeführer die Miteigentumshälfte der Beschwerdegegnerin übernimmt und deren Anspruch aus beruflicher Vorsorge im Betrag von Fr. 173'289.30 durch Überweisung der Austrittsleistung in dieser Höhe erfüllt (vgl. Art. 280 Abs. 1 lit. a ZPO ). Die Vorsorgeeinrichtung des Beschwerdeführers hat die Durchführbarkeit der vereinbarten Regelung bestätigt (vgl. Art. 280 Abs. 1 lit. b ZPO ). Die Vereinbarung kann in diesem Punkt genehmigt werden (vgl. Art. 280 Abs. 1 lit. c ZPO ). Sie ist von Amtes wegen mit den entsprechenden Anweisungen an die Vorsorgeeinrichtung des Beschwerdeführers zu ergänzen und den betroffenen Vorsorgeeinrichtungen beider Parteien mitzuteilen (vgl. Art. 280 Abs. 2 ZPO ). Da die erwähnte Übernahme der Miteigentumshälfte mit der vereinbarten Regelung der beruflichen Vorsorge ein Ganzes bildet, ist sie förmlich im Urteilsdispositiv aufzuführen, obgleich sie gemäss Abtretungsvertrag vom 2. Mai 2012 bereits erfolgt ist.</w:t>
      </w:r>
    </w:p>
    <w:p>
      <w:r>
        <w:rPr>
          <w:b/>
        </w:rPr>
        <w:t>E. 4</w:t>
      </w:r>
    </w:p>
    <w:p>
      <w:r>
        <w:t>Der Entscheid über den nachehelichen Unterhalt ist vor Bundesgericht nicht mehr angefochten worden und damit rechtskräftig (vgl. Art. 103 BGG ). Es steht den Parteien indessen frei, die rechtskräftig beurteilten Ansprüche auf nachehelichen Unterhalt durch Parteivereinbarung in einfacher Schriftlichkeit zu ändern, ohne dass hierzu eine gerichtliche Genehmigung erforderlich wäre (vgl. Art. 284 Abs. 2 ZPO ; vgl. Botschaft zur Schweizerischen Zivilprozessordnung [ZPO] vom 28. Juni 2006, BBl 2006 7221 S. 7363 zu Art. 279 E-ZPO). Da die Einigung über die Zahlung des nachehelichen Unterhalts hier in engem Zusammenhang mit den anderen Scheidungsfolgen steht, ist sie ebenfalls formell in das Dispositiv des Urteils aufzunehmen.</w:t>
      </w:r>
    </w:p>
    <w:p>
      <w:r>
        <w:rPr>
          <w:b/>
        </w:rPr>
        <w:t>E. 5</w:t>
      </w:r>
    </w:p>
    <w:p>
      <w:r>
        <w:t>Die Scheidungsvereinbarung kann mit den erwähnten Ergänzungen genehmigt und in das Urteilsdispositiv aufgenommen werden. Die übereinstimmenden Anträge der Parteien sind deshalb gutzuheissen und die kantonal geregelten Scheidungsfolgen abzuändern. Das Beschwerdeverfahren ist damit in formeller Hinsicht durch den Vergleich und dessen Genehmigung erledigt. Der Beschwerdeführer hat sich bereit erklärt, die Verfahrenskosten zu übernehmen. Die Voraussetzungen für einen Verzicht auf die Erhebung von Gerichtskosten sind nicht erfüllt (vgl. Art. 66 Abs. 1 BGG ). Eine Parteientschädigung ist vereinbarungsgemäss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