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122/2018 vom 12. Februar 2018</w:t>
      </w:r>
    </w:p>
    <w:p>
      <w:r>
        <w:t>Bundesgericht, 2018-02-12, FR</w:t>
      </w:r>
    </w:p>
    <w:p>
      <w:r>
        <w:rPr>
          <w:b/>
        </w:rPr>
        <w:t xml:space="preserve">Quelle: </w:t>
      </w:r>
      <w:r>
        <w:t>https://mcp.opencaselaw.ch/entscheid/bger_5A_122_2018</w:t>
      </w:r>
    </w:p>
    <w:p>
      <w:r>
        <w:t>FR: TF 5A 122/2018 du 12 février 2018</w:t>
      </w:r>
    </w:p>
    <w:p>
      <w:r>
        <w:t>IT: TF 5A 122/2018 del 12 febbraio 2018</w:t>
      </w:r>
    </w:p>
    <w:p>
      <w:pPr>
        <w:pStyle w:val="Heading2"/>
      </w:pPr>
      <w:r>
        <w:t>Regeste</w:t>
      </w:r>
    </w:p>
    <w:p>
      <w:r>
        <w:t>effet suspensif (mesures protectrices de l'union conjugale) | Droit de la famille</w:t>
      </w:r>
    </w:p>
    <w:p>
      <w:pPr>
        <w:pStyle w:val="Heading2"/>
      </w:pPr>
      <w:r>
        <w:t>Erwägungen</w:t>
      </w:r>
    </w:p>
    <w:p>
      <w:r>
        <w:rPr>
          <w:b/>
        </w:rPr>
        <w:t>E. 1</w:t>
      </w:r>
    </w:p>
    <w:p>
      <w:r>
        <w:t>Par arrêt du 15 janvier 2018, le Président de la Chambre civile de la Cour de justice du canton de Genève a admis, pour la période du 20 mars 2017 au 5 décembre 2017, la requête de suspension du caractère exécutoire formée par A.A.________ le 18 décembre 2017 dans le cadre de son appel, tendant à la suspension du caractère exécutoire du chiffre 4 du dispositif de l'ordonnance de mesures protectrices de l'union conjugale rendu le 5 décembre 2017 par le Tribunal de première instance condamnant B.A.________ à verser à son épouse A.A.________ une contribution d'entretien mensuelle réduite en sa faveur.</w:t>
      </w:r>
    </w:p>
    <w:p>
      <w:r>
        <w:rPr>
          <w:b/>
        </w:rPr>
        <w:t>E. 2</w:t>
      </w:r>
    </w:p>
    <w:p>
      <w:r>
        <w:t>Par acte du 6 février 2018, A.A.________ exerce un recours en matière civile au Tribunal fédéral, prenant huit chefs de conclusions, dont l'annulation de la décision attaquée et la confirmation du maintien de la précédente ordonnance de mesures provisoires.</w:t>
      </w:r>
    </w:p>
    <w:p>
      <w:r>
        <w:rPr>
          <w:b/>
        </w:rPr>
        <w:t>E. 3</w:t>
      </w:r>
    </w:p>
    <w:p>
      <w:r>
        <w:t>Le présent recours est dirigé contre une décision suspendant partiellement le caractère exécutoire d'un chiffre du dispositif d'une ordonnance de mesures provisoires,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la recourante - qui semble avoir méconnu la nature de la décision dont est recours - ne discute pas de la recevabilité de son recours à l'encontre d'une décision de nature incidente, même de manière implicite. Or, l'on ne voit pas, de manière manifeste, à quel dommage irréparable la recourante est exposée par le refus d'accorder l'effet suspensif aux arriérés d'aliments, et non pour l'entretien courant. Dans ces circonstances, le recours fondé sur l' art. 93 al. 1 LTF doit d'emblée être déclaré irrecevable selon la procédure simplifiée de l' art. 108 al. 1 let. a LTF .</w:t>
      </w:r>
    </w:p>
    <w:p>
      <w:r>
        <w:rPr>
          <w:b/>
        </w:rPr>
        <w:t>E. 4</w:t>
      </w:r>
    </w:p>
    <w:p>
      <w:r>
        <w:t>Les frais judiciaires, arrêtés à 700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