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5A_122/2014 vom 2. Mai 2014</w:t>
      </w:r>
    </w:p>
    <w:p>
      <w:r>
        <w:t>Bundesgericht, 2014-05-02, FR</w:t>
      </w:r>
    </w:p>
    <w:p>
      <w:r>
        <w:rPr>
          <w:b/>
        </w:rPr>
        <w:t xml:space="preserve">Quelle: </w:t>
      </w:r>
      <w:r>
        <w:t>https://mcp.opencaselaw.ch/entscheid/bger_5A_122_2014</w:t>
      </w:r>
    </w:p>
    <w:p>
      <w:r>
        <w:t>FR: TF 5A_122/2014 du 2 mai 2014</w:t>
      </w:r>
    </w:p>
    <w:p>
      <w:r>
        <w:t>IT: TF 5A_122/2014 del 2 maggio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Les décisions en matière de mesures provisionnelles sont incidentes, aux termes de l' art. 93 al. 1 LTF , lorsque l'effet des mesures en cause est limité à la durée d'un procès en cours ou à entreprendre, dans un délai qui lui est imparti, par la partie requérante. En conséquence, la recevabilité d'un recours en matière civile suppose que la décision soit de nature à causer un préjudice irréparable aux termes de l' art. 93 al. 1 let. a LTF ( ATF 137 III 324 consid. 1.1 p. 327/328; 134 I 83 consid. 3.1 p. 86/87). L'exigence d'un préjudice irréparable vise non seulement le recours dirigé contre une décision accordant des mesures provisionnelles, mais aussi celui dirigé contre une décision de refus ( ATF 134 IV 335 consid. 4 p. 338; arrêts 5A_475/2013 du 11 septembre 2013 consid. 1; 4A_478/2011 du 30 novembre 2011 consid. 1.1, publié</w:t>
      </w:r>
    </w:p>
    <w:p>
      <w:r>
        <w:t>in SJ 2012 I 468).</w:t>
      </w:r>
    </w:p>
    <w:p>
      <w:r>
        <w:t>Selon la jurisprudence relative à ladite exigence, un préjudice irréparable n'est réalisé que lorsque la partie recourante subit un dommage qu'une décision favorable sur le fond ne fera pas disparaître complètement; il faut en outre un dommage de nature juridique, tandis qu'un inconvénient seulement matériel, résultant par exemple d'un accroissement de la durée et des frais de la procédure, est insuffisant ( ATF 138 III 190 consid. 6 p. 192; 137 III 380 consid. 1.2.1 p. 382 et les références). Il incombe à la partie recourante d'indiquer de manière détaillée en quoi elle se trouve menacée d'un préjudice juridique irréparable par la décision de mesures provisionnelles qu'elle conteste; à défaut, le recours est irrecevable ( ATF 137 III 324 consid. 1.1 p. 329). La jurisprudence actuelle n'admet plus qu'une décision en matière de mesures provisionnelles entraîne de par sa nature un préjudice juridique irréparable; elle exige au contraire que la partie recourante fournisse des indications topiques sur ce point (arrêt 4A_9/2013 du 18 juin 2013 consid. 6).</w:t>
      </w:r>
    </w:p>
    <w:p>
      <w:r>
        <w:rPr>
          <w:b/>
        </w:rPr>
        <w:t>E. 1.2</w:t>
      </w:r>
    </w:p>
    <w:p>
      <w:r>
        <w:t>Dans leur mémoire de recours, bien qu'affirmant à juste titre qu'ils attaquent une décision incidente au sens de l' art. 93 al. 1 LTF , les recourants n'exposent pas en quoi ils se trouvent menacés, par la décision de refus des mesures provisionnelles sollicitées, d'un préjudice juridique irréparable. Ils se bornent en effet à affirmer - sur la base notamment d'exemples (dommages causés à l'angle de leur garage et personne ayant failli être renversée par des véhicules de livraison) qui ne ressortent pas des faits de l'arrêt cantonal - que des " conséquences, potentiellement extrêmement graves (préjudices concernant l'intégrité physique et la vie de personnes et dommages à la propriété) " ne pourraient être évitées si leur requête de mesures provisionnelles n'était pas admise. Une telle motivation ne satisfait pas à la jurisprudence précitée, qui exige que la partie recourante fournisse des indications topiques sur le risque d'une atteinte à sa position juridique, notamment quant aux voies de droit à sa disposition. Ces indications manquent en l'espèce, de sorte que le recours se révèle irrecevable au regard de l' art. 93 al. 1 let. a LTF .</w:t>
      </w:r>
    </w:p>
    <w:p>
      <w:r>
        <w:rPr>
          <w:b/>
        </w:rPr>
        <w:t>E. 2</w:t>
      </w:r>
    </w:p>
    <w:p>
      <w:r>
        <w:t>Les frais judiciaires sont mis à la charge des recourants, solidairement entre eux ( art. 66 al. 1 et 5 LTF ). Aucune indemnité de dépens n'est octroyée à l'intimé qui n'a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