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5A_121/2025 vom 14. Februar 2025</w:t>
      </w:r>
    </w:p>
    <w:p>
      <w:r>
        <w:t>Bundesgericht, 2025-02-14, IT</w:t>
      </w:r>
    </w:p>
    <w:p>
      <w:r>
        <w:rPr>
          <w:b/>
        </w:rPr>
        <w:t xml:space="preserve">Quelle: </w:t>
      </w:r>
      <w:r>
        <w:t>https://mcp.opencaselaw.ch/entscheid/bger_5A_121_2025</w:t>
      </w:r>
    </w:p>
    <w:p>
      <w:r>
        <w:t>FR: TF 5A_121/2025 du 14 février 2025</w:t>
      </w:r>
    </w:p>
    <w:p>
      <w:r>
        <w:t>IT: TF 5A_121/2025 del 14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supercautelare 3 ottobre 2018 il Pretore della giurisdizione di Mendrisio-Sud, in accoglimento di un'istanza della B.________ SA, ha fatto divieto alla Fondazione A.________ " di disporre dei beni elencati nell'inventario sub doc. D ". Con decisione cautelare 12 novembre 2018 il Pretore ha confermato la decisione supercautelare, assegnando alla parte istante un termine per inoltrare l'azione di merito (azione di rivendicazione).</w:t>
      </w:r>
    </w:p>
    <w:p>
      <w:r>
        <w:t>La B.________ SA ha introdotto tempestivamente l'azione. Con sentenza 2 settembre 2021 il Pretore ha ordinato alla Fondazione A.________ di riconsegnare alla B.________ SA "tutti i beni elencati nel doc. H". L'appello presentato dalla Fondazione A.________è stato dichiarato irricevibile il 3 dicembre 2021.</w:t>
      </w:r>
    </w:p>
    <w:p>
      <w:r>
        <w:rPr>
          <w:b/>
        </w:rPr>
        <w:t>E. 2</w:t>
      </w:r>
    </w:p>
    <w:p>
      <w:r>
        <w:t>La Fondazione A.________è stata sciolta con decisione assembleare 29 novembre 2022. Il verbale di scioglimento indica che " il fondo associativo e tutti i rapporti e diritti già riferiti o riferibili all'associazione " sono devoluti al trust denominato " Fondo Trust ".</w:t>
      </w:r>
    </w:p>
    <w:p>
      <w:r>
        <w:rPr>
          <w:b/>
        </w:rPr>
        <w:t>E. 3</w:t>
      </w:r>
    </w:p>
    <w:p>
      <w:r>
        <w:t>Il 21 aprile 2023 il Fondo Trust ex Fondazione A.________ ha chiesto al Pretore di revocare la decisione supercautelare 3 ottobre 2018. In risposta, il Pretore l'ha informato che non vi era spazio per una revoca: tale decisione era infatti stata confermata con decisione cautelare 12 novembre 2018, cresciuta in giudicato, e ne era seguita la decisione di merito 2 settembre 2021, anch'essa cresciuta in giudicato.</w:t>
      </w:r>
    </w:p>
    <w:p>
      <w:r>
        <w:rPr>
          <w:b/>
        </w:rPr>
        <w:t>E. 4</w:t>
      </w:r>
    </w:p>
    <w:p>
      <w:r>
        <w:t>Il 21 giugno 2024 il Fondo Trust ex Fondazione A.________ ha interposto un reclamo alla III Camera civile del Tribunale d'appello del Cantone Ticino, chiedendo la revoca della decisione supercautelare 3 ottobre 2018.</w:t>
      </w:r>
    </w:p>
    <w:p>
      <w:r>
        <w:t>Mediante sentenza 23 settembre 2024 la Corte cantonale ha dichiarato inammissibile il reclamo.</w:t>
      </w:r>
    </w:p>
    <w:p>
      <w:r>
        <w:t>Con sentenza 5A_692/2024 del 29 ottobre 2024 il Tribunale federale ha dichiarato inammissibile il ricorso inoltrato da A.________, quale trustee del Fondo Trust ex Fondazione A.________, avverso la sentenza cantonale del 23 settembre 2024.</w:t>
      </w:r>
    </w:p>
    <w:p>
      <w:r>
        <w:rPr>
          <w:b/>
        </w:rPr>
        <w:t>E. 5.1</w:t>
      </w:r>
    </w:p>
    <w:p>
      <w:r>
        <w:t>Il 25 novembre 2024 il Fondo Trust ex Fondazione A.________ ha nuovamente interposto un reclamo alla III Camera civile del Tribunale d'appello del Cantone Ticino, chiedendo la revoca della decisione supercautelare 3 ottobre 2018.</w:t>
      </w:r>
    </w:p>
    <w:p>
      <w:r>
        <w:t>Mediante sentenza 8 gennaio 2025 la Corte cantonale ha dichiarato inammissibile il reclamo. Essa ha osservato che la decisione supercautelare - a prescindere dalla questione della sua impugnabilità - era decaduta per legge siccome le era seguita la decisione cautelare 12 novembre 2018 e la decisione di merito 2 settembre 2021, entrambe cresciute in giudicato, ciò che rendeva il reclamo irricevibile (senza che occorresse esaminare l'ammissibilità del gravame alla luce della sua precedente sentenza del 23 settembre 2024).</w:t>
      </w:r>
    </w:p>
    <w:p>
      <w:r>
        <w:rPr>
          <w:b/>
        </w:rPr>
        <w:t>E. 5.2</w:t>
      </w:r>
    </w:p>
    <w:p>
      <w:r>
        <w:t>Con ricorso 6 febbraio 2025A.________, quale trustee del Fondo Trust ex Fondazione A.________, ha adito il Tribunale federale chiedendo, in rappresentanza del trust, la " revoca " della sentenza cantonale 8 gennaio 2025.</w:t>
      </w:r>
    </w:p>
    <w:p>
      <w:r>
        <w:t>Non sono state chieste determinazioni.</w:t>
      </w:r>
    </w:p>
    <w:p>
      <w:r>
        <w:rPr>
          <w:b/>
        </w:rPr>
        <w:t>E. 6.1</w:t>
      </w:r>
    </w:p>
    <w:p>
      <w:r>
        <w:t>L'atto ricorsuale al Tribunale federale deve contenere i motivi ( art. 42 cpv. 1 LTF ). Nei motivi la parte ricorrente deve spiegare, confrontandosi con i considerandi della sentenza impugnata ( DTF 143 II 283 consid. 1.2.2; 140 III 86 consid. 2; 134 II 244 consid. 2.1), perché quest'ultima leda il diritto ( art. 42 cpv. 2 LTF ). Contro le decisioni in materia di misure cautelari la parte ricorrente può far valere soltanto la violazione di diritti costituzionali ( art. 98 LTF ); essa deve quindi soddisfare le esigenze di motivazione dell' art. 106 cpv. 2 LTF , cioè indicare i diritti ritenuti lesi e spiegare, con un'argomentazione puntuale e precisa attinente alla sentenza impugnata, in cosa consista la violazione ( DTF 143 II 283 consid. 1.2.2; 134 II 244 consid. 2.2).</w:t>
      </w:r>
    </w:p>
    <w:p>
      <w:r>
        <w:t>Quando, come in concreto, l'autorità precedente non esamina un ricorso nel merito, oggetto di disamina dinanzi al Tribunale federale può essere unicamente la questione dell'inammissibilità e avverso un tale giudizio sono possibili soltanto conclusioni tendenti all'annullamento e al rinvio dell'incarto all'istanza cantonale, poiché, in caso di accoglimento del ricorso, il Tribunale federale non potrebbe statuire nel merito (v. DTF 144 II 184 consid. 1.1 con rinvii).</w:t>
      </w:r>
    </w:p>
    <w:p>
      <w:r>
        <w:rPr>
          <w:b/>
        </w:rPr>
        <w:t>E. 6.2</w:t>
      </w:r>
    </w:p>
    <w:p>
      <w:r>
        <w:t>La motivazione ricorsuale è del tutto inadeguata a dimostrare che la sentenza impugnata violerebbe il diritto (v. art. 42 cpv. 2 e 106 cpv. 2 LTF) : la parte ricorrente si limita infatti a far valere, peraltro in modo confuso, vizi di procedura nella procedura supercautelare e cautelare del 2018, senza minimamente confrontarsi con gli argomenti sviluppati dai Giudici cantonali a fondamento dell'inammissibilità del suo reclamo. Il gravame risulta pertanto manifestamente inammissibile già per tale motivo, senza che occorra esaminare la legittimazione ricorsuale della parte ricorrente.</w:t>
      </w:r>
    </w:p>
    <w:p>
      <w:r>
        <w:rPr>
          <w:b/>
        </w:rPr>
        <w:t>E. 7</w:t>
      </w:r>
    </w:p>
    <w:p>
      <w:r>
        <w:t>Da quanto precede discende che il ricorso, manifestamente non motivato in modo sufficiente, può essere deciso nella procedura semplificata dell' art. 108 cpv. 1 lett. b LTF .</w:t>
      </w:r>
    </w:p>
    <w:p>
      <w:r>
        <w:t>Le spese giudiziarie seguono la soccombenza ( art. 66 cpv. 1 LTF ). Non si giustifica assegnare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