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121/2016 vom 8. Juli 2016</w:t>
      </w:r>
    </w:p>
    <w:p>
      <w:r>
        <w:t>Bundesgericht, 2016-07-08, DE</w:t>
      </w:r>
    </w:p>
    <w:p>
      <w:r>
        <w:rPr>
          <w:b/>
        </w:rPr>
        <w:t xml:space="preserve">Quelle: </w:t>
      </w:r>
      <w:r>
        <w:t>https://mcp.opencaselaw.ch/entscheid/bger_5A_121_2016</w:t>
      </w:r>
    </w:p>
    <w:p>
      <w:r>
        <w:t>FR: TF 5A 121/2016 du 8 juillet 2016</w:t>
      </w:r>
    </w:p>
    <w:p>
      <w:r>
        <w:t>IT: TF 5A 121/2016 del 8 luglio 2016</w:t>
      </w:r>
    </w:p>
    <w:p>
      <w:pPr>
        <w:pStyle w:val="Heading2"/>
      </w:pPr>
      <w:r>
        <w:t>Regeste</w:t>
      </w:r>
    </w:p>
    <w:p>
      <w:r>
        <w:t>Ehescheidung (Scheidungskonvention) | Familienrecht</w:t>
      </w:r>
    </w:p>
    <w:p>
      <w:pPr>
        <w:pStyle w:val="Heading2"/>
      </w:pPr>
      <w:r>
        <w:t>Erwägungen</w:t>
      </w:r>
    </w:p>
    <w:p>
      <w:r>
        <w:rPr>
          <w:b/>
        </w:rPr>
        <w:t>E. 1</w:t>
      </w:r>
    </w:p>
    <w:p>
      <w:r>
        <w:t>Die Beschwerde richtet sich gegen den Endentscheid einer letzten kantonalen Instanz, die als oberes Gericht über vermögensrechtliche Nebenfolgen der Ehescheidung entschieden hat ( Art. 72 Abs. 1, 75 und 90 BGG ). Der Streitwert übersteigt Fr. 30'000.-- ( Art. 74 Abs. 1 lit. b BGG ). Der Beschwerdeführer ist zur Beschwerde berechtigt ( Art. 76 Abs. 1 BGG ) und die Beschwerdefrist ist eingehalten ( Art. 100 Abs. 1 BGG ).</w:t>
      </w:r>
    </w:p>
    <w:p>
      <w:r>
        <w:rPr>
          <w:b/>
        </w:rPr>
        <w:t>E. 2</w:t>
      </w:r>
    </w:p>
    <w:p>
      <w:r>
        <w:t>Der Beschwerdeführer verlangt eine Befristung seiner Unterhaltspflicht bis 30. April 2016. Der von ihm bis zur Pensionierung der Beschwerdegegnerin zu bezahlende Unterhaltsbeitrag greife in sein Existenzminimum ein und treibe ihn auf das Sozialamt.</w:t>
      </w:r>
    </w:p>
    <w:p>
      <w:r>
        <w:rPr>
          <w:b/>
        </w:rPr>
        <w:t>E. 3</w:t>
      </w:r>
    </w:p>
    <w:p>
      <w:r>
        <w:t>Das Obergericht hat festgehalten, der Beschwerdeführer habe in der Anschlussberufung nicht geltend gemacht, dass die Scheidungskonvention wegen eines Willensmangels oder offensichtlicher Unangemessenheit an einem Mangel leide und deshalb nicht hätte genehmigt werden dürfen. Zur Zeit der Genehmigung der Konvention habe festgestanden, dass der Beschwerdeführer am xx. April 2016 sein 65. Altersjahr beenden werde. Seine zukünftigen Renteneinkünfte seien jedoch nicht bekannt gewesen, weshalb eine denkbare künftige Veränderung seiner wirtschaftlichen Leistungsfähigkeit zum Zeitpunkt seiner Pensionierung nicht beurteilt werden konnte und folglich in der Scheidungskonvention und im gerichtlichen Genehmigungsentscheid nicht berücksichtigt worden sei. Nachträgliche neue Erkenntnisse über das vom Beschwerdeführer zu erwartende Renteneinkommen begründeten daher keine Lückenhaftigkeit der Unterhaltsregelung, die zur Aufhebung des Genehmigungsentscheids führen könnte. Vielmehr stehe der Genehmigungsentscheid unter dem Vorbehalt von Art. 129 Abs. 1 ZGB im Falle einer erheblichen und dauerhaften Veränderung der Verhältnisse. Schliesslich ergäben sich aus der AHV-Rentenvorausberechnung der Ausgleichskasse C.________ vom 12. Dezember 2014 und aus der Überweisungsabrechnung der D.________ Sammelstiftung keine verbindlichen Rentenansprüche des Beschwerdeführers per Mai 2016.</w:t>
      </w:r>
    </w:p>
    <w:p>
      <w:r>
        <w:rPr>
          <w:b/>
        </w:rPr>
        <w:t>E. 4</w:t>
      </w:r>
    </w:p>
    <w:p>
      <w:r>
        <w:t>Nach Art. 279 Abs. 1 ZPO genehmigt das Gericht die Vereinbarung über die Scheidungsfolgen, wenn es sich davon überzeugt hat, dass die Ehegatten sie aus freiem Willen und nach reiflicher Überlegung geschlossen haben und sie klar, vollständig und nicht offensichtlich unangemessen ist. Die Genehmigung der Konvention kann - je nach Streitwert - im Rahmen einer Berufung oder einer Beschwerde wegen Verletzung von Art. 279 Abs. 1 ZPO in Frage gestellt werden (Urteile 5A_187/2013 vom 4. Oktober 2013 E. 5, in: FamPra.ch 2014 S. 409; 5A_74/2014 vom 5. August 2014 E. 2; 5A_683/2014 vom 18. März 2015 E. 6.1). Erfolgen die Unterzeichnung der Scheidungskonvention und ihre Genehmigung - wie vorliegend - am selben Tag, so stellt die Einlegung eines entsprechenden Rechtsmittels für diejenige Partei, die sich nachträglich von der Vereinbarung lösen will, denn auch das einzige Mittel dar, um doch noch die Nichtgenehmigung der Vereinbarung beantragen zu können (vgl. Urteile 5A_683/2014 vom 18. März 2015 E. 2.1; 5A_688/2013 vom 14. April 2014 E. 7.2.1, in: SJ 2014 I S. 369). Ein solcher Antrag auf Nichtgenehmigung kann insbesondere damit begründet werden, dass sich die Verhältnisse seit Abschluss der Vereinbarung wesentlich verändert haben ( BGE 99 II 359 E. 3c S. 362 zu aArt. 158 Ziff. 5 ZGB, mit weiteren Hinweisen; LÜCHINGER/GEISER, in: Basler Kommentar, Schweizerisches Zivilgesetzbuch I, 1996, N. 25 zu aArt. 158 ZGB). Im Rahmen eines Rechtsmittels, in dem die Verletzung von Art. 279 Abs. 1 ZGB gerügt wird, bedeutet dies, dass die Partei eine Überprüfung verlangt, ob die Vereinbarung aufgrund der behaupteten veränderten Verhältnisse offensichtlich unangemessen erscheint. Das Rechtsmittelgericht verfügt dabei über einen weiten Ermessensspielraum (vgl. Urteile 5A_74/2014 vom 5. August 2014 E. 3.1; 5A_721/2012 vom 17. Januar 2013 E. 3.3.1, in: FamPra.ch 2013 S. 775). Ob im Rechtsmittelverfahren veränderte Verhältnisse noch geltend gemacht werden können und mit ihnen ein Antrag auf Nichtgenehmigung einer Scheidungsvereinbarung begründet werden kann, hängt vom einschlägigen Novenrecht ab ( Art. 317, 326 ZPO ).</w:t>
      </w:r>
    </w:p>
    <w:p>
      <w:r>
        <w:rPr>
          <w:b/>
        </w:rPr>
        <w:t>E. 5</w:t>
      </w:r>
    </w:p>
    <w:p>
      <w:r>
        <w:t>Bezogen auf die vorliegende Streitsache bedeutet dies Folgendes: Der Beschwerdeführer hat vor Obergericht Anträge gestellt, die von der genehmigten Scheidungsvereinbarung abweichen. Damit gab er sinngemäss zu verstehen, dass er mit der Genehmigung dieser Vereinbarung durch das Bezirksgericht nicht einverstanden war. Das Obergericht hätte insoweit Veranlassung gehabt, die Einwände des Beschwerdeführers unter dem Gesichtspunkt von Art. 279 Abs. 1 ZPO , insbesondere der Frage der offensichtlichen Unangemessenheit zu prüfen, sofern diese Einwände im Berufungsverfahren noch vorgebracht werden konnten. Wie soeben gesagt, kann der Beschwerdeführer gegen die Genehmigung einer Scheidungsvereinbarung namentlich einwenden, die Umstände hätten sich seit dem Abschluss der Vereinbarung wesentlich geändert. Alleine der Umstand, dass er sich auf veränderte Umstände beruft, bedeutet noch nicht automatisch, dass er ins Abänderungsverfahren nach Art. 129 ZGB zu verweisen wäre. Im Berufungsverfahren entscheidet sich vielmehr nach Art. 317 ZPO , ob er die neuen Tatsachen und die zugehörigen Beweismittel noch vorbringen darf. Der Beschwerdeführer stützte sich vor Obergericht auf die AHV-Rentenvorausberechnung der Ausgleichskasse C.________ vom 12. Dezember 2014 und auf die Überweisungsabrechnung der D.________ Sammelstiftung vom 9. April 2015. Da das bezirksgerichtliche Urteil bereits vom 9. Dezember 2014 datiert, handelt es sich somit um echte Noven. Echte Noven sind im Berufungsverfahren grundsätzlich immer zulässig, sofern sie sofort nach ihrer Entdeckung vorgebracht werden (Urteil 4A_643/2011 vom 24. Februar 2012 E. 3.2.2). Der Beschwerdeführer durfte sich demnach in seiner Anschlussberufung auf diese Unterlagen stützen. Das Obergericht hält zu diesen Unterlagen jedoch zusätzlich fest, aus ihnen ergäben sich keine verbindlichen Rentenansprüche des Beschwerdeführers. Dies mag zutreffen, ist jedoch bei der Prüfung der "offensichtlichen Unangemessenheit" gemäss Art. 279 Abs. 1 ZPO kein entscheidender Gesichtspunkt. Das Obergericht geht - zu Recht - selber davon aus, dass Auskünfte über die zukünftige wirtschaftliche Leistungsfähigkeit im Zeitpunkt zur Pensionierung beim Abschluss einer Scheidungsvereinbarung bzw. bei der gerichtlichen Genehmigung berücksichtigt werden können. Hat eine Partei während des Scheidungsverfahrens und bei der Unterzeichnung einer Scheidungsvereinbarung das AHV-Alter noch nicht erreicht, so wohnt jedoch allen entsprechenden Auskünften etwas Vorläufiges inne, da sich die Rentenansprüche je nach den Umständen, insbesondere je nach der Dauer bis zum Renteneintritt, noch verändern können. Zugleich handelt es sich bei solchen Auskünften aber um die bestmögliche annähernde Berechnung der zukünftigen Leistungsfähigkeit einer Partei. Geht es - wie hier - um die Prüfung, ob die Scheidungsvereinbarung offensichtlich unangemessen erscheint, ist deshalb im Einzelfall zu untersuchen, ob und in welchem Ausmass die Unterhaltsregelung in der Scheidungsvereinbarung an solchen Auskünften gemessen werden kann. Dabei ist insbesondere zu berücksichtigen, in welchem Umfang noch mit Änderungen bei den Rentenansprüchen gerechnet werden muss. Die Gerichte verfügen dabei, wie insgesamt bei der Prüfung der offensichtlichen Unangemessenheit, über einen weiten Ermessensspielraum. Das angefochtene Urteil ist folglich aufzuheben und die Angelegenheit zur weiteren Prüfung im Sinne der vorstehenden Erwägungen an das Obergericht zurückzuweisen.</w:t>
      </w:r>
    </w:p>
    <w:p>
      <w:r>
        <w:rPr>
          <w:b/>
        </w:rPr>
        <w:t>E. 6</w:t>
      </w:r>
    </w:p>
    <w:p>
      <w:r>
        <w:t>Es rechtfertigt sich, auf die Erhebung von Gerichtskosten zu verzichten ( Art. 66 Abs. 1 BGG ). Die Beschwerdegegnerin hat den Beschwerdeführer für das bundesgerichtliche Verfahren angemessen zu entschädigen ( Art. 68 Abs. 1 BGG ). Das Gesuch des Beschwerdeführers um unentgeltliche Rechtspflege und Verbeiständung ist gegenstandslos, soweit es die Gerichtskosten betrifft. Für den Fall der Nichteinbringlichkeit der Parteientschädigung ist das Gesuch gutzuheissen und Rechtsanwalt Albert Rüttimann eine reduzierte Parteientschädigung aus der Bundesgerichtskasse zu entrichten ( Art. 64 Abs. 2 BGG ). Der Beschwerdeführer hat dafür der Gerichtskasse Ersatz zu leisten, wenn er dazu später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