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5A_120/2015 vom 31. März 2015</w:t>
      </w:r>
    </w:p>
    <w:p>
      <w:r>
        <w:t>Bundesgericht, 2015-03-31, DE</w:t>
      </w:r>
    </w:p>
    <w:p>
      <w:r>
        <w:rPr>
          <w:b/>
        </w:rPr>
        <w:t xml:space="preserve">Quelle: </w:t>
      </w:r>
      <w:r>
        <w:t>https://mcp.opencaselaw.ch/entscheid/bger_5A_120_2015</w:t>
      </w:r>
    </w:p>
    <w:p>
      <w:r>
        <w:t>FR: TF 5A_120/2015 du 31 mars 2015</w:t>
      </w:r>
    </w:p>
    <w:p>
      <w:r>
        <w:t>IT: TF 5A_120/2015 del 31 marzo 2015</w:t>
      </w:r>
    </w:p>
    <w:p>
      <w:pPr>
        <w:pStyle w:val="Heading2"/>
      </w:pPr>
      <w:r>
        <w:t>Erwägungen</w:t>
      </w:r>
    </w:p>
    <w:p>
      <w:r>
        <w:rPr>
          <w:b/>
        </w:rPr>
        <w:t>E. 1.1</w:t>
      </w:r>
    </w:p>
    <w:p>
      <w:r>
        <w:t>Im Lichte des Bundesgerichtsgesetzes gelten Entscheide über die aufschiebende Wirkung als vorsorgliche Massnahmen ( BGE 137 III 475 E. 2 S. 477). Selbstständig eröffnete Entscheide über die Anordnung oder Verweigerung vorsorglicher Massnahmen für die Dauer des Hauptverfahrens sind Zwischenentscheide im Sinne von Art. 93 BGG , gegen die die Beschwerde nur zulässig ist, wenn sie einen nicht wieder gutzumachenden Nachteil bewirken können ( Art. 93 Abs. 1 lit. a BGG ). Dabei muss es sich um einen Nachteil rechtlicher Natur handeln, der auch durch einen für die Beschwerdeführerin günstigen Entscheid in der Zukunft nicht mehr behoben werden kann ( BGE 137 III 324 E. 1.1 S. 328; 138 III 46 E. 1.2 S. 47). Ob ein nicht wieder gutzumachender Nachteil vorliegt, bemisst sich an den Auswirkungen des Zwischenentscheids auf die Hauptsache bzw. das Hauptverfahren ( BGE 137 III 380 E. 1.2.2 S. 383). Soweit nicht offenkundig ist, dass der Zwischenentscheid einen nicht wieder gutzumachenden Nachteil bewirken könnte, haben die Beschwerdeführer in ihrer Eingabe darzutun, inwiefern sie einem nicht wieder gutzumachenden Nachteil ausgesetzt und die Voraussetzungen der Zulässigkeit ihrer Beschwerde erfüllt sind ( Art. 42 Abs. 2 BGG ; BGE 137 III 522 E. 1.3 S. 525; 138 III 46 E. 1.2 S. 47). Ein solcher Nachteil ist vorliegend offensichtlich gegeben: Werden die Kinder gestützt auf den Entzug der aufschiebenden Wirkung fremd platziert, kann diese Massnahmen auch durch einen für die Beschwerdeführer günstigen Entscheid in der Sache nicht behoben bzw. rückgängig gemacht werden, zumal der Endentscheid an der rückwirkenden Fremdplatzierung nichts ändern würde.</w:t>
      </w:r>
    </w:p>
    <w:p>
      <w:r>
        <w:rPr>
          <w:b/>
        </w:rPr>
        <w:t>E. 1.2</w:t>
      </w:r>
    </w:p>
    <w:p>
      <w:r>
        <w:t>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1.3</w:t>
      </w:r>
    </w:p>
    <w:p>
      <w:r>
        <w:t>Die Beschwerdeführer nehmen keinen Bezug zu Art. 98 BGG und die sich daraus ergebende eingeschränkte Kognition des Bundesgerichts. Sie ergehen sich vielmehr über weite Strecken in appellatorischer Kritik am angefochtenen Entscheid. Insbesondere legen sie in ihrer Eingabe nicht ausdrücklich dar, welche verfassungsmässigen Rechte und inwiefern die Vorinstanz diese verletzt haben soll. Auf die nicht den Anforderungen (E. 1.2) entsprechend begründete und daher unzulässige Beschwerde ( Art. 42 Abs. 2 BGG ) ist folglich nicht einzutreten.</w:t>
      </w:r>
    </w:p>
    <w:p>
      <w:r>
        <w:rPr>
          <w:b/>
        </w:rPr>
        <w:t>E. 2</w:t>
      </w:r>
    </w:p>
    <w:p>
      <w:r>
        <w:t>Bei diesem Ausgang des Verfahrens werden die Beschwerdeführer kostenpflichtig ( Art. 66 Abs. 1 BGG ), wobei sie für die Kosten solidarisch haften ( Art. 66 Abs. 5 BGG ). Die Frage der Entschädigung stellt sich nicht, zumal lediglich die verfügende Behörde und die Vorinstanz zur Vernehmlassung angehalten worden sind.</w:t>
      </w:r>
    </w:p>
    <w:p>
      <w:r>
        <w:rPr>
          <w:b/>
        </w:rPr>
        <w:t>E. 3</w:t>
      </w:r>
    </w:p>
    <w:p>
      <w:r>
        <w:t>Wie die bisherigen Ausführungen zeigen, hat sich die vorliegende Beschwerde als von Anfang an aussichtslos erwiesen. Fehlt es somit an einer der kumulativen Voraussetzungen (nicht aussichtslose Beschwerde), muss das Gesuch der Beschwerdeführer um unentgeltliche Rechtspflege abgewiesen werden (64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