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5A_11/2020 vom 13. Mai 2020</w:t>
      </w:r>
    </w:p>
    <w:p>
      <w:r>
        <w:t>Bundesgericht, 2020-05-13, FR</w:t>
      </w:r>
    </w:p>
    <w:p>
      <w:r>
        <w:rPr>
          <w:b/>
        </w:rPr>
        <w:t xml:space="preserve">Quelle: </w:t>
      </w:r>
      <w:r>
        <w:t>https://mcp.opencaselaw.ch/entscheid/bger_5A_11_2020</w:t>
      </w:r>
    </w:p>
    <w:p>
      <w:r>
        <w:t>FR: TF 5A_11/2020 du 13 mai 2020</w:t>
      </w:r>
    </w:p>
    <w:p>
      <w:r>
        <w:t>IT: TF 5A_11/2020 del 13 maggio 2020</w:t>
      </w:r>
    </w:p>
    <w:p>
      <w:pPr>
        <w:pStyle w:val="Heading2"/>
      </w:pPr>
      <w:r>
        <w:t>Erwägungen</w:t>
      </w:r>
    </w:p>
    <w:p>
      <w:r>
        <w:rPr>
          <w:b/>
        </w:rPr>
        <w:t>E. 1</w:t>
      </w:r>
    </w:p>
    <w:p>
      <w:r>
        <w:t>Déposé en temps utile (art. 46 al. 2 et 100 al. 1 LTF)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 5A_805/2019 du 27 mars 2020 consid. 1 et les références).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Par ailleurs, le grief doit être développé dans le recours même, un renvoi à d'autres écritures ou à des pièces n'étant pas admissible ( ATF 133 II 396 consid. 3.2 et les références; arrêt 5A_756/2019 du 13 février 2020 consid. 2.1).</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145 IV 154 consid. 1.1; 141 IV 249 consid. 1.3.1 et la référence).</w:t>
      </w:r>
    </w:p>
    <w:p>
      <w:r>
        <w:rPr>
          <w:b/>
        </w:rPr>
        <w:t>E. 3</w:t>
      </w:r>
    </w:p>
    <w:p>
      <w:r>
        <w:t>La recourante émet plusieurs griefs à l'encontre du refus de la juridiction précédente d'instaurer une garde alternée.</w:t>
      </w:r>
    </w:p>
    <w:p>
      <w:r>
        <w:rPr>
          <w:b/>
        </w:rPr>
        <w:t>E. 3.1.1</w:t>
      </w:r>
    </w:p>
    <w:p>
      <w:r>
        <w:t>Elle reproche tout d'abord à la cour cantonale d'avoir violé son droit d'être entendue ( art. 29 al. 2 Cst. ) en s'écartant du rapport du SPJ du 17 juillet 2018 sans motiver en quoi ce document - qui était le fruit d'une instruction menée sur la durée, après avoir rencontré les enfants et les professionnels les entourant - serait moins pertinent que les déterminations de la curatrice de l'enfant, alors que celle-ci n'avait pas rencontré souvent les enfants et que les dernières déclarations de C.________ devaient être considérées avec réserve. L'autorité aurait également omis de faire référence à la Convention du 20 novembre 1989 relative aux droits de l'enfant (CDE; RS 0.107), alors qu'elle avait invoqué notamment son art. 19.</w:t>
      </w:r>
    </w:p>
    <w:p>
      <w:r>
        <w:rPr>
          <w:b/>
        </w:rPr>
        <w:t>E. 3.1.2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et les références). L'autorité n'a pas l'obligation d'exposer et de discuter tous les faits, moyens de preuve et griefs invoqués par les parties, mais elle peut au contraire se limiter à ceux qui lui paraissent pertinents ( ATF 143 III 65 consid. 5.2; 141 IV 249 consid. 1.3.1). La motivation peut être implicite et résulter des différents considérants de la décision ( ATF 141 V 557 consid. 3.2.1).</w:t>
      </w:r>
    </w:p>
    <w:p>
      <w:r>
        <w:rPr>
          <w:b/>
        </w:rPr>
        <w:t>E. 3.1.3</w:t>
      </w:r>
    </w:p>
    <w:p>
      <w:r>
        <w:t>En l'espèce, la cour cantonale a expliqué les raisons pour lesquelles elle s'est écartée du rapport du SPJ, à savoir que celui-ci était relativement ancien et antérieur à la convention selon laquelle les parents avaient confirmé le régime de garde exclusive au père, de sorte qu'il ne constituait pas un élément nouveau susceptible de justifier une modification du régime. La décision attaquée remplit ainsi les exigences de l' art. 29 al. 2 Cst. (cf.</w:t>
      </w:r>
    </w:p>
    <w:p>
      <w:r>
        <w:t>supra consid. 3.1.2). Pour le surplus, le grief de la recourante se confond en réalité avec celui d'arbitraire dans l'appréciation des preuves et l'établissement des faits, qui sera examiné ci-après (cf.</w:t>
      </w:r>
    </w:p>
    <w:p>
      <w:r>
        <w:t>infra consid. 3.2).</w:t>
      </w:r>
    </w:p>
    <w:p>
      <w:r>
        <w:t>S'agissant de la référence à l' art. 19 CDE que la cour cantonale aurait omise, le fait que celle-ci n'ait pas expressément mentionné cette disposition dans sa décision n'est pas constitutif d'une violation du droit d'être entendu, dès lors qu'elle a examiné les arguments de la recourante relatifs aux violences domestiques et pris sa décision au regard du bien de l'enfant (cf., à ce propos,</w:t>
      </w:r>
    </w:p>
    <w:p>
      <w:r>
        <w:t>infra consid. 3.3.3.2).</w:t>
      </w:r>
    </w:p>
    <w:p>
      <w:r>
        <w:t>Infondé, le grief de violation de l' art. 29 al. 2 Cst. doit être rejeté.</w:t>
      </w:r>
    </w:p>
    <w:p>
      <w:r>
        <w:rPr>
          <w:b/>
        </w:rPr>
        <w:t>E. 3.2</w:t>
      </w:r>
    </w:p>
    <w:p>
      <w:r>
        <w:t>La recourante fait également grief à la cour cantonale d'avoir arbitrairement établi les faits. En tant qu'elle fait valoir que la juridiction précédente aurait constaté de manière manifestement inexacte que le système de garde exclusive découlait d'une convention de mesures protectrices de l'union conjugale du 24 août 2017, alors qu'il s'agissait en réalité d'un prononcé et non d'une convention, la recourante - qui ne met pas en cause le fait que la garde a été effectivement attribuée au père depuis cette date - n'explique nullement en quoi la correction de cet élément aurait une influence sur l'issue du litige (cf.</w:t>
      </w:r>
    </w:p>
    <w:p>
      <w:r>
        <w:t>supra consid. 2.1). En tant qu'elle soutient que la décision du 24 août 2017 était erronée et qu'il serait dès lors arbitraire de se fonder sur celle-ci pour justifier le maintien de la garde au père, la recourante se contente de présenter, de manière appellatoire (cf.</w:t>
      </w:r>
    </w:p>
    <w:p>
      <w:r>
        <w:t>supra consid. 2.2), sa propre appréciation de cette décision, en perdant au demeurant de vue que celle-ci a été confirmée en deuxième instance par arrêt du 21 novembre 2017. Dans la mesure où la recourante fait valoir que l'intimé aurait été arbitrairement considéré comme un homme au foyer, qu'il n'aurait jamais été convenu qu'il s'occupe des enfants et qu'elle travaille à plein temps, qu'elle s'occupait exclusivement de ceux-ci avant de partir au travail et que seule la paresse de l'intimé l'avait empêché de trouver du travail en Suisse, la recourante ne fait, là encore, que présenter de manière appellatoire sa propre vision de la situation (cf.</w:t>
      </w:r>
    </w:p>
    <w:p>
      <w:r>
        <w:t>supra consid. 2.2). En tant qu'elle soutient que les constatations de l'autorité cantonale à cet égard, qui seraient " fondées sur des stéréotypes préconçus sur la répartition des tâches lorsqu'un parent travaille et l'autre pas, [...] pourrai[en]t constituer une discrimination au sens des art. 8 et 9 de la Constitution fédérale et de l' art. 14 CEDH ", sa critique ne remplit manifestement pas les exigences de l' art. 106 al. 2 LTF (cf.</w:t>
      </w:r>
    </w:p>
    <w:p>
      <w:r>
        <w:t>supra consid. 2.1). Il en va de même de l'affirmation péremptoire selon laquelle l'hospitalisation de C.________ au mois de février 2018 serait due à l'attribution de la garde exclusive au père. Dans la mesure où elle reproche à la cour cantonale de ne pas avoir détaillé le rapport du SPJ du 17 juillet 2018 et de ne pas l'avoir "examiné avec suffisamment d'attention ", la recourante se contente de présenter sa propre lecture de ce document et ne critique pas de manière claire et détaillée (cf.</w:t>
      </w:r>
    </w:p>
    <w:p>
      <w:r>
        <w:t>supra consid. 2.2) le raisonnement de la cour cantonale, qui explique pour quelles raisons il se justifie de s'écarter de ce rapport. Enfin, les arguments de la recourante relatifs aux déclarations et déterminations de la curatrice, dont elle minimise la valeur probante, ainsi qu'aux souhaits de l'enfant C.________ en début de procédure, à l'état de son fils à cet époque et au lien que D.________ a avec elle sont appellatoires, partant irrecevables (cf.</w:t>
      </w:r>
    </w:p>
    <w:p>
      <w:r>
        <w:t>supra consid. 2.2).</w:t>
      </w:r>
    </w:p>
    <w:p>
      <w:r>
        <w:t>Au vu de ce qui précède, le grief est irrecevable.</w:t>
      </w:r>
    </w:p>
    <w:p>
      <w:r>
        <w:rPr>
          <w:b/>
        </w:rPr>
        <w:t>E. 3.3.1</w:t>
      </w:r>
    </w:p>
    <w:p>
      <w:r>
        <w:t>La recourante reproche ensuite à la juridiction précédente d'avoir arbitrairement appliqué l'art. 298 al. 2</w:t>
      </w:r>
    </w:p>
    <w:p>
      <w:r>
        <w:t>ter CC, violé la Convention du Conseil de l'Europe sur la prévention et la lutte contre la violence à l'égard des femmes et la violence domestique (Convention d'Istanbul; RS 0.311.35) ainsi que les art. 3, 8 et 14 CEDH en refusant d'instaurer une garde alternée. Elle lui fait grief de s'être fondée " pratiquement exclusivement " sur les déterminations de la curatrice, contenant notamment des " déclarations spontanées " de C.________ contredisant ses précédentes déclarations selon lesquelles il voulait voir davantage sa mère. Par ailleurs, l'arrêt entrepris minimise l'impact des violences subies, tend à les excuser et " semble considérer " qu'un père peut être violent contre la mère, sans que cela affecte ses capacités parentales, ce qui contredit la position officielle de la Suisse, qui a confirmé à un comité des droits de l'homme des Nations-Unies qu'il ne faisait aucun doute que la violence domestique entravait la capacité des parents à exercer leurs droits parentaux. Citant l'art. 7 de la Convention d'Istanbul, la recourante explique avoir peiné à obtenir une réponse globale de la part des autorités, les autorités civiles n'ayant pas tenu compte de la condamnation pénale de l'intimé. Au vu de l'art. 48 de la Convention précitée, la juridiction précédente ne pouvait par ailleurs s'appuyer sur la convention signée par les parties le 10 octobre 2018, laissant la garde au père. La cour cantonale aurait également omis d'appliquer la jurisprudence de la Cour européenne des droits de l'homme en matière de violences domestiques en ne prenant pas les mesures adéquates pour la protéger ainsi que ses enfants et en ne traitant pas de l'impact significatif de la violence sur les enfants, compte tenu notamment de l'hospitalisation de l'enfant aîné pour des actes d'automutilation et des idées suicidaires. Compte tenu du fait qu'elle dispose actuellement d'un droit de visite très large et que les disponibilités des parties sont similaires, l'autorité cantonale aurait versé dans l'arbitraire en refusant l'instauration d'une garde alternée aux seuls motifs du conflit parental et du maintien de la stabilité. Celle-ci ne serait d'ailleurs nullement remise en cause en cas de garde partagée, la seule différence pratique résidant dans le fait que, toutes les deux semaines, les enfants viendraient chez leur mère plus tôt dans la journée et qu'ils resteraient le dimanche soir avec elle. Soulignant qu'elle continue de demander la garde exclusive dans la procédure de divorce, la mère relève que la décision du premier juge constituait un " pas dans la bonne direction ", le père utilisant la garde exclusive pour lui mettre la pression sur les plans économique et psychologique depuis plus de deux ans.</w:t>
      </w:r>
    </w:p>
    <w:p>
      <w:r>
        <w:rPr>
          <w:b/>
        </w:rPr>
        <w:t>E. 3.3.2</w:t>
      </w:r>
    </w:p>
    <w:p>
      <w:r>
        <w:t>Le droit suisse satisfait aux exigences des art. 7 et 48 de la Convention d'Istanbul (Message du Conseil fédéral concernant l'approbation de la convention du Conseil de l'Europe sur la prévention et la lutte contre la violence à l'égard des femmes et la violence domestique [convention d'Istanbul], FF 2017 163, spéc. 180 et 226). Ces dispositions obligent en outre les Etats parties mais ne créent pas de droits subjectifs (cf. arrêt 6B_1015/2019 du 4 décembre 2019 consid. 5.5.7; KÄLIN/KÜNZLI, Universeller Menschenrechtsschutz, 4e éd., 2019, no 11.67). Par ailleurs, comme la recourante ne prétend pas que la législation suisse contreviendrait aux art. 3, 8 et 14 CEDH ni ne démontre que ceux-ci auraient une portée propre dans le présent contexte, on peut se limiter à examiner ses critiques sous l'angle de l' art. 298 al. 2ter CC , dont elle soulève également l'application arbitraire.</w:t>
      </w:r>
    </w:p>
    <w:p>
      <w:r>
        <w:rPr>
          <w:b/>
        </w:rPr>
        <w:t>E. 3.3.3.1</w:t>
      </w:r>
    </w:p>
    <w:p>
      <w:r>
        <w:t>Bien que l'autorité parentale conjointe soit désormais la règle ( art. 296 al. 2 CC ; ATF 142 III 1 consid. 3.3, 56 consid. 3) et qu'elle comprenne le droit de déterminer le lieu de résidence de l'enfant ( art. 301a al. 1 CC ), elle n'implique pas nécessairement l'instauration d'une garde alternée ( ATF 142 III 612 consid. 4.2, 617 consid. 3.2.3; arrêt 5A_534/2019 du 31 janvier 2020 consid. 3.1 et les références). Le juge doit néanmoins examiner, nonobstant et indépendamment de l'accord des parents quant à une garde alternée, si celle-ci est possible et compatible avec le bien de l'enfant ( ATF 142 III 612 consid. 4.2, 617 consid. 3.2.3). En matière d'attribution des droits parentaux, le bien de l'enfant constitue la règle fondamentale, les intérêts des parents devant être relégués au second plan ( ATF 142 III 617 consid. 3.2.3 et les références; arrêts 5A_534/2019 précité consid. 3.1; 5A_462/2019 du 29 janvier 2020 consid. 3.2).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arrêts 5A_534/2019 précité consid. 3.1; 5A_462/2019 précité consid. 3.2 et les références).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arrêts 5A_462/2019 précité consid. 3.2; 5A_260/2019 du 5 novembre 2019 consid. 3.1).</w:t>
      </w:r>
    </w:p>
    <w:p>
      <w:r>
        <w:t>Pour apprécier ces critères, le juge du fait, qui connaît le mieux les parties et le milieu dans lequel vit l'enfant, dispose d'un large pouvoir d'appréciation ( ATF 142 III 617 consid. 3.2.5 et les références; arrêts 5A_534/2019 précité consid. 3.1; 5A_260/2019 précité consid. 3.1 et les références).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la référence; arrêt 5A_534/2019 précité consid. 3.1).</w:t>
      </w:r>
    </w:p>
    <w:p>
      <w:r>
        <w:rPr>
          <w:b/>
        </w:rPr>
        <w:t>E. 3.3.3.2</w:t>
      </w:r>
    </w:p>
    <w:p>
      <w:r>
        <w:t>En l'espèce, la recourante reproche à la cour cantonale de n'avoir pas tenu compte des violences domestiques commises par le père et remet en cause les capacités parentales de celui-ci. Dans le cadre de son examen, la juridiction précédente a toutefois pris en considération cet élément. Relevant que la condamnation de l'intimé par ordonnance pénale pour lésions corporelles simples qualifiées, injures et menaces qualifiées contre l'épouse pour des faits survenus d'avril à août 2017, soit avant la séparation des parties, n'était pas définitive et que la question des violences devait être prise en compte dans l'appréciation du bien des enfants, la juridiction précédente a estimé qu'en l'espèce, le maintien du régime actuel se justifiait par l'intérêt supérieur de ceux-ci, dont la sécurité n'était nullement compromise par l'attribution de la garde au père, quand bien même la condamnation pénale serait confirmée. Soulignant que les faits reprochés au père n'avaient pas empêché que la garde exclusive lui soit accordée depuis le 24 août 2017, la cour cantonale a estimé que la recourante ne pouvait revenir sur ces faits anciens pour prétendre à une garde alternée. En l'occurrence, dans la mesure où les enfants sont sous la garde exclusive du père depuis la séparation et qu'il ne ressort nullement du dossier que le SPJ ou d'autres intervenants auraient remis en doute les aptitudes de celui-ci, il n'apparaît pas que l'autorité cantonale aurait manifestement outrepassé son pouvoir d'appréciation (cf.</w:t>
      </w:r>
    </w:p>
    <w:p>
      <w:r>
        <w:t>supra consid. 3.3.3.1) en considérant que les faits reprochés à l'intimé ne remettaient, en l'espèce, pas en cause sa capacité parentale. S'agissant de la capacité de la mère, la cour cantonale a retenu, sur la base des dernières déterminations du SPJ, que celle-ci semblait avoir de la peine à entendre les besoins de ses enfants et à les faire passer avant ses propres intérêts, et que son aptitude à favoriser le contact avec l'autre parent était sujette à caution, ce que la recourante ne discute pas (cf.</w:t>
      </w:r>
    </w:p>
    <w:p>
      <w:r>
        <w:t>supra consid. 2.2). Par ailleurs, si la volonté actuelle de l'enfant C.________ concernant le maintien de la situation a certes été prise en compte par la cour cantonale pour refuser l'octroi d'une garde alternée, ce critère n'a pas été considéré comme décisif mais simplement comme un élément supplémentaire dans le cadre de l'appréciation globale de la situation. Enfin, autant que recevable, l'argument de la recourante selon lequel la stabilité de la prise en charge des enfants ne serait pas remise en cause par l'instauration d'une garde alternée puisqu'elle dispose déjà d'un large droit de visite est, en l'espèce, infondé. En effet, selon les constatations de l'arrêt querellé, la psychologue de C.________ a indiqué ne pas pouvoir se prononcer sur les effets d'une garde alternée, en précisant que si C.________ voyait plus sa mère, il pourrait aller mieux comme retomber dans un conflit de loyauté, ce qu'a aussi souligné la curatrice de l'enfant. Par ailleurs, dans ses dernières déterminations du 17 septembre 2019, le SPJ a conclu au maintien de la garde exclusive en faveur du père. Compte tenu en particulier de l'ampleur du conflit conjugal et de la nécessité de préserver les enfants de celui-ci, notamment d'éviter le risque pour C.________ de retomber dans un grave conflit de loyauté, la cour cantonale n'a pas manifestement outrepassé son pouvoir d'appréciation en refusant d'apporter, en l'état et alors qu'un travail de coparentalité était en cours, tout changement à la prise en charge des enfants.</w:t>
      </w:r>
    </w:p>
    <w:p>
      <w:r>
        <w:t>Autant que recevables, les griefs de la recourante doivent être rejetés.</w:t>
      </w:r>
    </w:p>
    <w:p>
      <w:r>
        <w:rPr>
          <w:b/>
        </w:rPr>
        <w:t>E. 4</w:t>
      </w:r>
    </w:p>
    <w:p>
      <w:r>
        <w:t>La recourante reproche également à la cour cantonale d'avoir violé l'art. 18 de la Convention d'Istanbul, le principe de l'interdiction de l'arbitraire et l' art. 125 al. 3 CC s'agissant des contributions d'entretien dues en faveur de ses deux enfants. Elle soutient que lesdites pensions, qui incluent une contribution de prise en charge, l'empêchent de bénéficier de l'indépendance économique dont elle a besoin compte tenu des abus subis. Au vu des montants fixés et du fait que des postes importants de son budget ont été exclus, son minimum vital ne serait pas couvert. Elle soutient également que l'intimé est seul responsable de sa propre situation économique et renvoie, si par impossible le Tribunal fédéral devait considérer qu'elle doit verser des pensions en faveur des enfants, aux calculs mentionnés dans son appel et à sa réponse à l'appel de l'intimé.</w:t>
      </w:r>
    </w:p>
    <w:p>
      <w:r>
        <w:t>En l'espèce, indépendamment de la pertinence et de l'applicabilité des dispositions invoquées par la recourante à la présente cause (cf., s'agissant de la Convention d'Istanbul, arrêt 6B_1015/2019 précité consid. 5.5.7 et la doctrine citéeet, au sujet de l' art. 125 al. 3 CC en mesures protectrices de l'union conjugale, arrêt 5A_405/2019 du 24 février 2020 consid. 7.2), la recourante ne développe aucune critique claire et détaillée (cf.</w:t>
      </w:r>
    </w:p>
    <w:p>
      <w:r>
        <w:t>supra consid. 2.1 et 2.2) à l'encontre des motifs de la décision querellée concernant les pensions des enfants, le simple renvoi à ses écritures d'appel étant à cet égard insuffisant (cf.</w:t>
      </w:r>
    </w:p>
    <w:p>
      <w:r>
        <w:t>supra consid. 2.1).</w:t>
      </w:r>
    </w:p>
    <w:p>
      <w:r>
        <w:t>Partant, les griefs de la recourante sont irrecevables.</w:t>
      </w:r>
    </w:p>
    <w:p>
      <w:r>
        <w:rPr>
          <w:b/>
        </w:rPr>
        <w:t>E. 5</w:t>
      </w:r>
    </w:p>
    <w:p>
      <w:r>
        <w:t>En conclusion, le recours est rejeté dans la mesure de sa recevabilité. Les frais judiciaires sont mis à la charge de la recourante, qui succombe ( art. 66 al. 1 LTF ). L'intimé, qui a obtenu gain de cause s'agissant de l'effet suspensif mais n'a pas été invité à se déterminer sur le fond, a droit à une indemnité de dépens réduits ( art. 68 al. 1 et 2 LTF ), ce qui rend sa demande d'assistance judiciaire sans objet. Compte tenu de l'issue de la cause, il n'y a pas lieu de modifier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