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5A_119/2023 vom 20. Dezember 2022</w:t>
      </w:r>
    </w:p>
    <w:p>
      <w:r>
        <w:t>Bundesgericht, 2022-12-20, FR</w:t>
      </w:r>
    </w:p>
    <w:p>
      <w:r>
        <w:rPr>
          <w:b/>
        </w:rPr>
        <w:t xml:space="preserve">Quelle: </w:t>
      </w:r>
      <w:r>
        <w:t>https://mcp.opencaselaw.ch/entscheid/bger_5A_119_2023</w:t>
      </w:r>
    </w:p>
    <w:p>
      <w:r>
        <w:t>FR: TF 5A_119/2023 du 20 décembre 2022</w:t>
      </w:r>
    </w:p>
    <w:p>
      <w:r>
        <w:t>IT: TF 5A_119/2023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de mesures provisionnelles prise le 25 octobre 2022, la Juge de paix du district de l'Ouest lausannois a notamment institué une curatelle de portée générale provisoire selon les art. 398 et 445 CC en faveur de A.________ (II), privé l'intéressé à titre provisoire de l'exercice des droits civils (III), nommé un curateur provisoire (IV) et défini ses tâches (V à VII).</w:t>
      </w:r>
    </w:p>
    <w:p>
      <w:r>
        <w:t>Par arrêt du 20 décembre 2022, la Chambre des curatelles du Tribunal cantonal du canton de Vaud a déclaré irrecevable, faute de motivation et de conclusions suffisantes, le recours de la personne concernée.</w:t>
      </w:r>
    </w:p>
    <w:p>
      <w:r>
        <w:rPr>
          <w:b/>
        </w:rPr>
        <w:t>E. 2</w:t>
      </w:r>
    </w:p>
    <w:p>
      <w:r>
        <w:t>Par écriture déposée (auprès de la cour cantonale) le 28 janvier 2023, la personne concernée exerce un recours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présent recours est traité en tant que recours en matière civile au sens de l'art. 72 al. 2 let. b ch. 6 LTF.</w:t>
      </w:r>
    </w:p>
    <w:p>
      <w:r>
        <w:rPr>
          <w:b/>
        </w:rPr>
        <w:t>E. 4.1</w:t>
      </w:r>
    </w:p>
    <w:p>
      <w:r>
        <w:t>Comme l'arrêt entrepris porte sur des mesures provisionnelles au sens de 98 LTF (parmi d'autres: arrêts 5A_624/2020 du 25 février 2021 consid. 3.1; 5A_655/2020 du 8 septembre 2020 consid. 5.2), le délai de recours n'est pas suspendu du 18 décembre au 2 janvier inclus ( art. 46 al. 2 let. b LTF ; arrêt 5A_379/2017 du 5 décembre 2017 consid. 1.4 et les citations). En l'espèce, il ressort du suivi des envois recommandés que le pli contenant la décision attaquée a été distribué au recourant le 23 décembre 2022, de sorte que ledit délai expirait le 22 janvier 2023 ( art. 44 al. 1 LTF ). Déposé le 28 janvier 2023, le recours apparaît dès lors manifestement tardif, partant irrecevable.</w:t>
      </w:r>
    </w:p>
    <w:p>
      <w:r>
        <w:rPr>
          <w:b/>
        </w:rPr>
        <w:t>E. 4.2</w:t>
      </w:r>
    </w:p>
    <w:p>
      <w:r>
        <w:t>De surcroît, le recourant n'expose pas, conformément à l' art. 106 al. 2 LTF , en quoi le motif d'irrecevabilité retenu par l'autorité cantonale violerait ses droits constitutionnels ( ATF 142 III 364 consid. 2.4 et les arrêts cités). Le recours eût donc aussi été irrecevable de ce chef.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LTF ). Il n'y a pas lieu de percevoir de frais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