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5A_119/2019 vom 11. Februar 2019</w:t>
      </w:r>
    </w:p>
    <w:p>
      <w:r>
        <w:t>Bundesgericht, 2019-02-11, DE</w:t>
      </w:r>
    </w:p>
    <w:p>
      <w:r>
        <w:rPr>
          <w:b/>
        </w:rPr>
        <w:t xml:space="preserve">Quelle: </w:t>
      </w:r>
      <w:r>
        <w:t>https://mcp.opencaselaw.ch/entscheid/bger_5A_119_2019</w:t>
      </w:r>
    </w:p>
    <w:p>
      <w:r>
        <w:t>FR: TF 5A_119/2019 du 11 février 2019</w:t>
      </w:r>
    </w:p>
    <w:p>
      <w:r>
        <w:t>IT: TF 5A_119/2019 del 11 febbraio 2019</w:t>
      </w:r>
    </w:p>
    <w:p>
      <w:pPr>
        <w:pStyle w:val="Heading2"/>
      </w:pPr>
      <w:r>
        <w:t>Erwägungen</w:t>
      </w:r>
    </w:p>
    <w:p>
      <w:r>
        <w:rPr>
          <w:b/>
        </w:rPr>
        <w:t>E. 1</w:t>
      </w:r>
    </w:p>
    <w:p>
      <w:r>
        <w:t>Soweit die Beschwerdeführerin - im Übrigen ohne jegliche Begründung - die Zusprechung von Schadenersatz und Genugtuung verlangt, ist auf die Beschwerde von vornherein nicht einzutreten, denn Gegenstand des angefochtenen Entscheides ist die Frage der Gewährung der unentgeltlichen Rechtspflege für den betreffenden Prozess.</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Das Obergericht hat seinen Nichteintretensentscheid damit begründet, dass die Beschwerde weder ein Rechtsbegehren noch eine Auseinandersetzung mit dem erstinstanzlichen Entscheid enthalte.</w:t>
      </w:r>
    </w:p>
    <w:p>
      <w:r>
        <w:t>Darauf geht die Beschwerdeführerin mit keinem Wort ein und sie legt nicht ansatzweise dar, inwiefern der obergerichtliche Entscheid Recht verletzen soll, sondern beschränkt sich auf die Aussage, sie habe mehrere Patente erfolgreich eingereicht, weshalb sie sich als wichtige Person sehe und dem Bundesgericht empfehle, dies auch zu 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