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5A_117/2021 vom 9. März 2022</w:t>
      </w:r>
    </w:p>
    <w:p>
      <w:r>
        <w:t>Bundesgericht, 2022-03-09, FR</w:t>
      </w:r>
    </w:p>
    <w:p>
      <w:r>
        <w:rPr>
          <w:b/>
        </w:rPr>
        <w:t xml:space="preserve">Quelle: </w:t>
      </w:r>
      <w:r>
        <w:t>https://mcp.opencaselaw.ch/entscheid/bger_5A_117_2021</w:t>
      </w:r>
    </w:p>
    <w:p>
      <w:r>
        <w:t>FR: TF 5A_117/2021 du 9 mars 2022</w:t>
      </w:r>
    </w:p>
    <w:p>
      <w:r>
        <w:t>IT: TF 5A_117/2021 del 9 marzo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En particulier, le choix d'une solution opéré par l'autorité cantonale sur une question qui est controversée en doctrine ne peut en principe pas être qualifié d'arbitraire (arrêts 5A_503/2020 du 16 décembre 2020 consid. 2; 5A_20/2020 du 28 août 2020 consid. 4.2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En fait " figurant aux pages 2 à 5 du recours sera ignorée en tant que les faits qui y sont exposés ne sont pas expressément visés par un grief d'arbitraire, s'écartent de ceux contenus dans l'arrêt attaqué et que la recourante n'invoque, ni</w:t>
      </w:r>
    </w:p>
    <w:p>
      <w:r>
        <w:t>a fortiori ne démontre, leur établissement arbitraire ou que leur correction influerait sur le sort de la cause.</w:t>
      </w:r>
    </w:p>
    <w:p>
      <w:r>
        <w:rPr>
          <w:b/>
        </w:rPr>
        <w:t>E. 3</w:t>
      </w:r>
    </w:p>
    <w:p>
      <w:r>
        <w:t>Selon les constatations de l'arrêt querellé, le premier juge avait arrêté l'entretien convenable des enfants en prenant en compte un montant de 247 fr. à titre de part aux frais de logement chez le père (15% des frais de logement par enfant) car celui-ci jouissait d'un droit aux relations personnelles élargi. Ce montant s'ajoutait à la part aux frais de logement des enfants chez la mère d'un montant de 224 fr. (15 % des frais de logement par enfant), à qui la garde des enfants avait été attribuée. Etant donné que, dans le système de prise en charge des enfants, les parents s'occupaient des filles en nature selon une répartition de 70 % du temps pour la mère et de 30 % pour le père, le premier juge avait considéré qu'il devait être tenu compte de cette proportion pour calculer les contributions d'entretien à verser par le père en faveur de ses filles. Celui-ci devait ainsi verser pour chacune d'elles en main de la mère les 70 % de leur entretien convenable, après déduction de la part des enfants à ses frais de logement (247 fr.) qu'il payait directement. En vue de la fixation de la contribution d'entretien due à l'épouse, le disponible de la famille devait être réparti selon cette même clé.</w:t>
      </w:r>
    </w:p>
    <w:p>
      <w:r>
        <w:t>Sur cette base, la cour cantonale a relevé que d'après le calcul du premier juge, les parties avaient un disponible très similaire, à tout le moins à partir du 1er avril 2020 (3'183 fr. pour l'épouse et 3'234 fr. pour l'époux). Cet élément plaidait plutôt en faveur d'une répartition des prestations pécuniaires entre les parents, car on ne se trouvait pas dans la situation (encore) classique où le disponible de l'époux est souvent plus élevé que celui de l'épouse. À cela s'ajoutait que l'époux était au bénéfice d'un droit aux relations personnelles élargi (en plus du droit usuel, il s'occupait de ses filles du lundi soir à 18h au mardi soir à 18h). Compte tenu de l'ensemble de ces circonstances et au regard du pouvoir d'appréciation dont disposait le premier juge, la cour cantonale a considéré qu'une répartition des prestations pécuniaires à raison de 70-30 % entre les parties n'apparaissait pas critiquable. On pouvait certes s'interroger sur la conformité à la jurisprudence de la méthode employée dans la décision de mesures protectrices de l'union conjugale, qui non seulement déduisait des contributions alimentaires la part au loyer des enfants chez leur père (ce qui n'était pas forcément habituel, même lorsque le père est au bénéficie d'un droit aux relations personnelles élargi), mais également répartissait, entre parents, tant les coûts fixes que les coûts variables des filles. Cette façon de faire contribuait ainsi à favoriser le père. Cela étant, cet élément était contrebalancé par le fait que la charge fiscale - que le premier juge avait oublié de prendre en considération dans les charges des époux sans que la recourante soulève ce point dans son appel - était plus faible chez la mère que chez le père. Dans cette mesure, la cour cantonale a jugé que l'équité commandait de s'en tenir à ce que le premier juge avait décidé, nonobstant le fait que la méthode employée pouvait prêter le flanc à la critique. En effet, ce raisonnement aboutissait à ce que la mère disposait de fait d'un solde disponible mensuel de 3'573 fr. jusqu'au 31 janvier 2022, puis de 3'713 fr. dès le 1er février 2022, après impôts et contributions d'entretien en faveur des filles. Le père disposait quant à lui d'un solde disponible mensuel de 1'474 fr. jusqu'au 31 janvier 2022, puis de 1'334 fr. dès le 1er février 2022. Ce résultat n'était pas choquant, eu égard à la situation globale de la famille, même si l'on prenait en compte pour le père, comme le soutenait la mère, un revenu de 6'829 fr. au lieu de 6'700 fr. comme retenu par le premier juge.</w:t>
      </w:r>
    </w:p>
    <w:p>
      <w:r>
        <w:rPr>
          <w:b/>
        </w:rPr>
        <w:t>E. 4.1.1</w:t>
      </w:r>
    </w:p>
    <w:p>
      <w:r>
        <w:t>Soulevant un grief d'arbitraire ( art. 9 Cst. ) dans l'application du droit, et notamment de l' art. 285 CC , la recourante critique la répartition de la prise en charge financière des enfants à raison de 30-70 % entre elle et son époux. Elle expose que cette répartition serait en contradiction avec la jurisprudence selon laquelle, eu égard au principe d'équivalence des prestations en argent et en nature, il incombe au parent non gardien de contribuer exclusivement et entièrement en argent à l'entretien de l'enfant lorsque ce parent voit l'enfant uniquement lors de l'exercice de son droit aux relations personnelles ou pendant les vacances. Une dérogation à ce principe n'était admissible que lorsque le droit aux relations personnelles élargi se rapproche en pratique d'une garde alternée. Tel n'était pas le cas en l'occurrence vu que le droit du père comprenait uniquement un jour par semaine du lundi soir à 18h au mardi soir à 18h, en plus des week-ends et des vacances. Il était ainsi insoutenable de mettre à la charge du parent gardien une partie de l'entretien en argent des enfants.</w:t>
      </w:r>
    </w:p>
    <w:p>
      <w:r>
        <w:rPr>
          <w:b/>
        </w:rPr>
        <w:t>E. 4.2</w:t>
      </w:r>
    </w:p>
    <w:p>
      <w:r>
        <w:t>Selon l' art. 276 CC , l'entretien de l'enfant est assuré par les soins, l'éducation et des prestations pécuniaires (al. 1), ces trois éléments étant considérés comme équivalents (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 5A_848/2019 du 2 décembre 2020 consid. 7.1 et les références citées). Le versement d'une contribution d'entretien en espèces suppose toutefois une capacité contributive correspondante ( art. 285 al. 1 CC ), ce qui est le cas lorsque les revenus du parent intéressé excèdent ses propres besoins (arrêt 5A_450/2020 du 4 janvier 2021 consid. 5.3; 5A_848/2019 précité consid. 7.1).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 ATF 147 III 265 consid. 5.5; arrêts 5A_870/2020 du 7 mai 2021 consid. 4.3; 5A_583/2018 du 18 janvier 2019 consid. 5.1; 5A_584/2018 du 10 octobre 2018 consid. 4.3 et les références citées).</w:t>
      </w:r>
    </w:p>
    <w:p>
      <w:r>
        <w:t>Par contre, si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w:t>
      </w:r>
    </w:p>
    <w:p>
      <w:r>
        <w:t>Les parents peuvent se partager la garde différemment. À partir du moment où la prise en charge n'est pas égale, il s'agit de prendre en considération non seulement la capacité contributive relative de chaque parent, mais également la part de la prise en charge relative.</w:t>
      </w:r>
    </w:p>
    <w:p>
      <w:r>
        <w:rPr>
          <w:b/>
        </w:rPr>
        <w:t>E. 4.3</w:t>
      </w:r>
    </w:p>
    <w:p>
      <w:r>
        <w:t>En l'occurrence, la cour cantonale a motivé sa décision sur la base des critères précités. Elle a constaté que la capacité contributive des parents était à peu près équivalente, ce critère pouvant être considéré comme neutre. Puis, elle a relevé que le père jouissait d'un droit aux relations personnelles élargi puisqu'il s'occupait de ses filles du lundi soir à 18h au mardi soir à 18h en sus d'un week-end sur deux et de la moitié des vacances scolaires. La question qui se pose est donc celle de savoir si, sur le principe, il est insoutenable, c'est-à-dire arbitraire, de répartir les contributions d'entretien en fonction d'un taux de prise en charge en nature des enfants, lorsque le parent non gardien prend en charge les enfants un jour par semaine.</w:t>
      </w:r>
    </w:p>
    <w:p>
      <w:r>
        <w:t>Le Tribunal fédéral ne s'est jamais prononcé sur cette question précise. En revanche, certains auteurs préconisent une répartition de l'entretien en argent lorsque le parent non gardien prend en charge l'enfant un jour ou deux demi-journées par semaine en plus d'un droit aux relations personnelles usuel d'un week-end sur deux et de trois à quatre semaines de vacances par année (en ce sens: JONAS SCHWEIGHAUSER,</w:t>
      </w:r>
    </w:p>
    <w:p>
      <w:r>
        <w:t>in FamKomm Scheidung, vol. I, 3e éd., 2017, no 51 ad art. 285 CC ; cf. aussi PATRICK STOUDMANN, Le nouveau droit de l'entretien en pratique: ce qui change et ce qui reste,</w:t>
      </w:r>
    </w:p>
    <w:p>
      <w:r>
        <w:t>in RMA 6/2016 427 ss, p. 430).</w:t>
      </w:r>
    </w:p>
    <w:p>
      <w:r>
        <w:t>Au vu de ce qui précède et compte tenu des circonstances du cas d'espèce, il y a lieu de considérer que la solution retenue par la cour cantonale de partager l'entretien en argent des enfants en fonction du taux de prise en charge de chaque parent ne contrevient pas de manière manifeste aux principes et à la jurisprudence précités et qu'elle est par ailleurs en adéquation avec la position soutenue par une partie de la doctrine (cf.</w:t>
      </w:r>
    </w:p>
    <w:p>
      <w:r>
        <w:t>supra consid. 2.1</w:t>
      </w:r>
    </w:p>
    <w:p>
      <w:r>
        <w:t>in fine ). Elle ne saurait ainsi être qualifiée d'arbitraire.</w:t>
      </w:r>
    </w:p>
    <w:p>
      <w:r>
        <w:rPr>
          <w:b/>
        </w:rPr>
        <w:t>E. 4.4</w:t>
      </w:r>
    </w:p>
    <w:p>
      <w:r>
        <w:t>Dans le même grief, la recourante relève également que, dans l'hypothèse où le principe d'un partage de l'entretien financier des enfants devait être admis, la cour cantonale aurait dû retenir une clé de 90-10, voire de 80-20. Au vu du droit aux relations personnelles très légèrement élargi du père, il était arbitraire de répartir cet entretien à raison de 70-30 entre les parents. Cette répartition ne correspondait pas à la prise en charge effective du père, ce d'autant que la cour cantonale avait expressément admis dans son considérant théorique qu'un jour par semaine permettait un partage des frais à hauteur de 80-20.</w:t>
      </w:r>
    </w:p>
    <w:p>
      <w:r>
        <w:t>Dans l'arrêt 5A_743/2017 du 22 mai 2019 (consid. 2.2), le Tribunal fédéral a considéré que la prise en charge en nature d'enfants scolarisés - comme c'est également le cas en l'occurrence - pouvait être déterminée en divisant la journée en trois périodes (matin / début à la fin de l'école / soir) et en calculant sur 14 jours combien d'unités chaque parent était responsable sur un total de 42 unités (3 périodes x 14 jours). Appliquée en l'espèce, cette méthode conduit à admettre que le père s'occupe des enfants à hauteur d'environ 28,5% du temps (12/42 unités, à savoir 6 unités pour la prise en charge du lundi 18h au mardi 18h chaque semaine [3 unités par semaine x 2 semaines] et 6 unités pour la prise en charge du vendredi 18h au dimanche 18h un week-end sur deux) et la mère d'environ 71,5%. Cette proportion étant proche de la répartition 30-70 arrêtée par la cour cantonale, les critiques de la recourante sur le fait qu'il serait insoutenable de retenir une clé supérieure à 10-90, voire 20-80, sont infondées.</w:t>
      </w:r>
    </w:p>
    <w:p>
      <w:r>
        <w:t>Il s'ensuit que le grief d'arbitraire en lien avec la répartition de l'entretien financier des enfants entre les parents doit être rejeté.</w:t>
      </w:r>
    </w:p>
    <w:p>
      <w:r>
        <w:rPr>
          <w:b/>
        </w:rPr>
        <w:t>E. 5.1</w:t>
      </w:r>
    </w:p>
    <w:p>
      <w:r>
        <w:t>La recourante reproche également à la cour cantonale d'avoir validé le calcul des contributions d'entretien opéré par le premier juge alors que celui-ci avait pris en compte une part aux frais de logement des enfants chez le père. Elle expose que le droit aux relations personnelles légèrement élargi du père ne permettait pas de prendre en considération une telle part. En admettant une déduction de la part du loyer des enfants chez le père, la cour cantonale avait ainsi établi plusieurs postes relatifs aux contributions d'entretien en faveur des enfants de manière insoutenable. Contrairement à ce qu'indiquait l'arrêt attaqué, cette erreur ne pouvait pas être " contrebalancée " par le fait que le premier juge avait oublié de tenir compte de la charge fiscale des parties dans son calcul. Présentant son propre calcul de la situation financière de chaque membre de la famille - dans lequel la recourante indique notamment que l'estimation de la charge fiscale opérée par la cour cantonale était trop basse, étant donné qu'elle se fondait " sur le calcul préalable erroné et trop faible des contributions d'entretien dues par le père ", et qu'il fallait prendre en considération un montant d'impôts d'environ 950 fr. par mois dans ses charges (au lieu des 420 fr. retenus dans l'arrêt querellé) et de 1'000 fr. par mois (au lieu des 950 fr. retenus) dans celles de son mari -, la recourante arrive à la conclusion que le solde disponible total de la famille auquel elle arrive ne correspond en rien à celui retenu par la cour cantonale, ce qui prouvait que les graves et nombreuses erreurs ne pouvaient pas s'annuler ni ne s'étaient compensées. Elle ajoute que son calcul permettait également de démontrer que le solde disponible de son époux suffisait à couvrir les déficits des deux enfants et que les charges fiscales effectives des parties différaient diamétralement de ce qu'avait retenu la cour cantonale, mais que cela ne changeait strictement rien sur le déficit des enfants. Elle poursuit en indiquant que, dans la mesure où le père devait assumer le 100% de l'entretien financier des enfants conformément à ce qu'elle avait précédemment exposé et que le solde disponible de celui-ci était suffisant pour le faire, il devait s'acquitter d'une contribution correspondant au déficit des enfants, à savoir 776 fr. en faveur de C.A.________ et 574 fr., puis 774 dès le 1er février 2022, en faveur de D.A.________. Dans l'hypothèse où une répartition 80-20 des coûts variables relatifs aux enfants entre les parents devait être admise, les contributions d'entretien se montaient à 622 fr. en faveur de C.A.________ et à 484 fr., puis à 644, en faveur de D.A.________.</w:t>
      </w:r>
    </w:p>
    <w:p>
      <w:r>
        <w:rPr>
          <w:b/>
        </w:rPr>
        <w:t>E. 5.2</w:t>
      </w:r>
    </w:p>
    <w:p>
      <w:r>
        <w:t>Il est vrai que la jurisprudence prévoit que la prise en compte d'une part aux frais de logement des enfants chez chacun des parents suppose en principe que ceux-ci prennent en charge l'enfant de manière alternée (arrêts 5A_147/2019 du 25 mars 2020 consid. 3.1; 5A_583/2018 du 18 janvier 2019 consid. 5.1; 5A_743/2017 précité consid. 5.2.5). Toutefois, on ne saurait reprocher à la cour cantonale d'avoir contrevenu à cette jurisprudence, dès lors qu'elle a retenu que cette manière de procéder était discutable et qu'elle a jugé, en tant que tel, que cet élément, ainsi que celui en lien avec la répartition entre les parents des coûts fixes relatifs aux enfants, étaient compensés par la prise en considération de la charge fiscale des parties que le premier juge avait oubliée dans son calcul. La critique sur l'estimation de cette charge arrêtée par la cour cantonale est par ailleurs irrecevable, dès lors que la recourante ne soulève pas de grief d'arbitraire en lien avec ces constatations (cf.</w:t>
      </w:r>
    </w:p>
    <w:p>
      <w:r>
        <w:t>supra consid. 2.1) et qu'elle se limite par ailleurs à indiquer que des montants de 950 fr. par mois pour elle, respectivement de 1'000 fr. par mois pour son mari, auraient dû être retenus, sans exposer de manière détaillée, par exemple par le renvoi à des pièces, comment elle arrive à ces montants. En outre, la présentation de la recourante ne permet pas de démontrer que l'appréciation de la cour cantonale selon laquelle les erreurs du premier juge seraient " contrebalancées " est fausse, et partant arbitraire. En effet, une telle démonstration impliquait logiquement de comparer la solution confirmée par la cour cantonale avec celle qui aurait dû être retenue si les erreurs constatées avaient été corrigées. Or, étant donné que la recourante prend notamment en considération une charge d'impôt différente de celle retenue dans l'arrêt querellé et son calcul des contributions d'entretien se base - de manière infondée (cf.</w:t>
      </w:r>
    </w:p>
    <w:p>
      <w:r>
        <w:t>supra consid. 4.3 et 4.4) - sur le fait que le père devait assumer le 100% des coûts variables des enfants, respectivement le 80% de ceux-ci, une telle comparaison n'est pas possible. De surcroît, la recourante n'expose pas en quoi les différences du solde disponible de la famille et celui du père qu'elle constate en procédant à ses propres calculs par rapport à ceux retenus par la cour cantonale seraient de nature à modifier les contributions d'entretien en faveur des enfants, étant observé à cet égard que le solde disponible du père arrêté dans l'arrêt querellé permettait également de couvrir l'entier du déficit des enfants. Elle échoue donc à démontrer que le raisonnement de la cour cantonale serait arbitraire dans le résultat.</w:t>
      </w:r>
    </w:p>
    <w:p>
      <w:r>
        <w:t>Autant que recevable, son grief doit ainsi être rejeté.</w:t>
      </w:r>
    </w:p>
    <w:p>
      <w:r>
        <w:rPr>
          <w:b/>
        </w:rPr>
        <w:t>E. 5.3</w:t>
      </w:r>
    </w:p>
    <w:p>
      <w:r>
        <w:t>Toujours en lien avec la critique que le raisonnement selon lequel les erreurs du premier juge se " contrebalançait ", la recourante reproche à la cour cantonale d'avoir appliqué à tort la méthode du minimum vital strict et non celle du minimum vital élargi, en validant la décision de première instance. Cet argument, qui n'est aucunement motivé, n'est pas intelligible. Il est donc irrecevable.</w:t>
      </w:r>
    </w:p>
    <w:p>
      <w:r>
        <w:rPr>
          <w:b/>
        </w:rPr>
        <w:t>E. 6.1</w:t>
      </w:r>
    </w:p>
    <w:p>
      <w:r>
        <w:t>La recourante reproche à la cour cantonale de n'avoir pas réparti l'excédent du couple, contrairement aux principes reconnus en la matière. Elle relève que le tribunal de première instance avait jugé que l'excédent de la famille s'élevait à 4'757 fr. dès le 1er avril 2020, mais que chaque époux avait un solde disponible similaire, si bien qu'il n'était pas nécessaire de le répartir, ce d'autant que l'épouse était récemment en concubinage. Soutenant que la cour cantonale aurait confirmé ce raisonnement, la recourante expose que celui-ci était faux puisque son mari jouissait de revenus supérieurs à ceux retenus par le premier juge, ce que la cour cantonale avait reconnu, et que son concubinage avait largement été pris en compte dans le calcul du budget. En l'espèce, il était manifeste que l'excédent du couple aurait dû être attribué en partie aux enfants. En ne procédant pas à cette répartition, le tribunal de première instance, puis la cour cantonale, avait méconnu de manière arbitraire le droit et causé un grave préjudice aux fillettes, celles-ci jouissant de contributions d'entretien trop faibles.</w:t>
      </w:r>
    </w:p>
    <w:p>
      <w:r>
        <w:rPr>
          <w:b/>
        </w:rPr>
        <w:t>E. 6.2</w:t>
      </w:r>
    </w:p>
    <w:p>
      <w:r>
        <w:t>Lorsque la recourante se prévaut de ce que le mari jouissait de revenus supérieurs, elle fonde sa critique un fait irrecevable, vu qu'il n'apparaît pas que l'arrêt querellé tienne pour établi le fait que celui-ci réalisait des revenus de 6'829 fr. au lieu de 6'700 fr. (cf.</w:t>
      </w:r>
    </w:p>
    <w:p>
      <w:r>
        <w:t>supra consid. 3) et que la recourante ne soulève pas valablement de griefs d'arbitraire en lien avec cette constatation (cf.</w:t>
      </w:r>
    </w:p>
    <w:p>
      <w:r>
        <w:t>supra consid. 2.2). Le reproche formulé en lien avec son concubinage est manifestement infondé, dès lors qu'il ne ressort pas de l'arrêt querellé que la cour cantonale aurait pris en compte ce motif pour refuser le partage de l'excédent. En tant qu'elle se borne à affirmer au surplus qu'il était manifeste qu'une partie de l'excédent devait revenir aux enfants, que les contributions d'entretien étaient trop faibles et que l'absence de répartition de l'excédent causait un grave préjudice aux enfants, elle procède à une argumentation purement appellatoire, qui ne répond manifestement pas aux réquisits en la matière (cf.</w:t>
      </w:r>
    </w:p>
    <w:p>
      <w:r>
        <w:t>supra consid. 2.1). Autant que recevable, le grief doit être rejeté.</w:t>
      </w:r>
    </w:p>
    <w:p>
      <w:r>
        <w:rPr>
          <w:b/>
        </w:rPr>
        <w:t>E. 7</w:t>
      </w:r>
    </w:p>
    <w:p>
      <w:r>
        <w:t>En définitive, le recours est rejeté dans la mesure où il est recevable. Dès lors que la recourante succombe, il se justifie de mettre à sa charge les frais judiciaires de la procédure fédérale ( art. 66 al. 1 LTF ). Elle versera également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