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5A_116/2022 vom 12. April 2022</w:t>
      </w:r>
    </w:p>
    <w:p>
      <w:r>
        <w:t>Bundesgericht, 2022-04-12, FR</w:t>
      </w:r>
    </w:p>
    <w:p>
      <w:r>
        <w:rPr>
          <w:b/>
        </w:rPr>
        <w:t xml:space="preserve">Quelle: </w:t>
      </w:r>
      <w:r>
        <w:t>https://mcp.opencaselaw.ch/entscheid/bger_5A_116_2022</w:t>
      </w:r>
    </w:p>
    <w:p>
      <w:r>
        <w:t>FR: TF 5A_116/2022 du 12 avril 2022</w:t>
      </w:r>
    </w:p>
    <w:p>
      <w:r>
        <w:t>IT: TF 5A_116/2022 del 12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5A_116/2022</w:t>
      </w:r>
    </w:p>
    <w:p>
      <w:r>
        <w:t>Ordonnance du 12 avril 2022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 par Me Antoine Eigenmann, avocat,</w:t>
      </w:r>
    </w:p>
    <w:p>
      <w:r>
        <w:t>recourant,</w:t>
      </w:r>
    </w:p>
    <w:p>
      <w:r>
        <w:t>contre</w:t>
      </w:r>
    </w:p>
    <w:p>
      <w:r>
        <w:t>1. B.________ SA,</w:t>
      </w:r>
    </w:p>
    <w:p>
      <w:r>
        <w:t>2. C.________,</w:t>
      </w:r>
    </w:p>
    <w:p>
      <w:r>
        <w:t>tous deux représentés par Me Yannis Sakkas, avocat,</w:t>
      </w:r>
    </w:p>
    <w:p>
      <w:r>
        <w:t>intimés.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3 décembre 2021 (KC20.0181195-210632/KC20.018189-210633 131).</w:t>
      </w:r>
    </w:p>
    <w:p>
      <w:r>
        <w:t>Vu :</w:t>
      </w:r>
    </w:p>
    <w:p>
      <w:r>
        <w:t>le recours en matière civile formé par A.________ contre l'arrêt rendu le 31 décembre 2021 par la Cour des poursuites et faillites du Tribunal cantonal vaudois dans la cause opposant le recourant à B.________ SA et à C.________;</w:t>
      </w:r>
    </w:p>
    <w:p>
      <w:r>
        <w:t>la déclaration de retrait du recours du 8 avril 2022;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aux parties et à la Cour des poursuites et faillites du Tribunal cantonal vaudois.</w:t>
      </w:r>
    </w:p>
    <w:p>
      <w:r>
        <w:t>Lausanne, le 12 avril 2022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