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5A_116/2018 vom 8. März 2018</w:t>
      </w:r>
    </w:p>
    <w:p>
      <w:r>
        <w:t>Bundesgericht, 2018-03-08, FR</w:t>
      </w:r>
    </w:p>
    <w:p>
      <w:r>
        <w:rPr>
          <w:b/>
        </w:rPr>
        <w:t xml:space="preserve">Quelle: </w:t>
      </w:r>
      <w:r>
        <w:t>https://mcp.opencaselaw.ch/entscheid/bger_5A_116_2018</w:t>
      </w:r>
    </w:p>
    <w:p>
      <w:r>
        <w:t>FR: TF 5A_116/2018 du 8 mars 2018</w:t>
      </w:r>
    </w:p>
    <w:p>
      <w:r>
        <w:t>IT: TF 5A_116/2018 del 8 marzo 2018</w:t>
      </w:r>
    </w:p>
    <w:p>
      <w:pPr>
        <w:pStyle w:val="Heading2"/>
      </w:pPr>
      <w:r>
        <w:t>Erwägungen</w:t>
      </w:r>
    </w:p>
    <w:p>
      <w:r>
        <w:rPr>
          <w:b/>
        </w:rPr>
        <w:t>E. 1</w:t>
      </w:r>
    </w:p>
    <w:p>
      <w:r>
        <w:t>Le recours a été formé en temps utile (art. 100 al. 1 et 46 al. 1 let. c LTF) contre une décision finale ( art. 90 LTF ) rendue en matière de poursuite pour dettes et faillite ( art. 72 al. 2 let. a LTF ) par un tribunal supérieur ayant statué sur recours ( art. 75 al. 1 et 2 LTF ). Il est ouvert sans égard à la valeur litigieuse ( art. 74 al. 2 let . d LTF), de sorte que les indications chiffrées que donne la recourante sont dépourvues de pertinence. Celle-ci a qualité pour recourir ( art. 76 al. 1 LTF ).</w:t>
      </w:r>
    </w:p>
    <w:p>
      <w:r>
        <w:rPr>
          <w:b/>
        </w:rPr>
        <w:t>E. 2</w:t>
      </w:r>
    </w:p>
    <w:p>
      <w:r>
        <w:t>Le recourant peut former son recours en matière civile pour violation du droit, tel qu'il est délimité par les art. 95 s. LTF. Le Tribunal fédéral applique le droit d'office ( art. 106 al. 1 LTF ). L' art. 42 al. 2 LTF exige toutefois que le recourant discute les motifs de la décision entreprise et indique précisément en quoi il estime que l'autorité précédente a méconnu le droit ( ATF 142 III 364 consid. 2.4 et la référence).</w:t>
      </w:r>
    </w:p>
    <w:p>
      <w:r>
        <w:rPr>
          <w:b/>
        </w:rPr>
        <w:t>E. 3</w:t>
      </w:r>
    </w:p>
    <w:p>
      <w:r>
        <w:t>La recourante se plaint de la violation de l' art. 334 al. 1 LP .</w:t>
      </w:r>
    </w:p>
    <w:p>
      <w:r>
        <w:rPr>
          <w:b/>
        </w:rPr>
        <w:t>E. 3.1</w:t>
      </w:r>
    </w:p>
    <w:p>
      <w:r>
        <w:t>La cour cantonale a retenu que la recourante était sans ressources régulières autre que sa rente AVS lui permettant d'envisager un remboursement de ses dettes au moyen de son disponible. Le plan de refinancement qu'elle prévoyait nécessitait le recours aux biens de tiers ou détenus ou gérés par des tiers et visait en réalité l'obtention de nouveaux crédits. Les conditions posées par la société devant assurer le refinancement n'étaient d'ailleurs pas encore arrêtées de manière définitives. A ce stade, elles comprenaient la remise par la banque B.________ SA de cédules hypothécaires en sa possession, lesquelles grevaient non seulement la parcelle de la recourante, mais également celles propriété de C.________ SA en liquidation; elles prévoyaient également la fourniture d'une garantie entre 1'350'000 fr. et 1'900'000 fr. par l'un des enfants de la recourante, sans qu'un engagement ferme et irrévocable pût toutefois être retenu. Celui-ci dépendait en outre de la vente de la propriété de l'appartement de W.________, elle-même soumise à condition. La parcelle que devait grever la cédule hypothécaire supplémentaire, condition posée à l'obtention du refinancement, n'était au demeurant pas déterminée, étant précisé que la recourante n'avait aucun pouvoir de disposition sur celles propriété de C.________ SA en faillite. Enfin, le refinancement sollicité devait permettre la vente de la propriété D.________ dans son ensemble, alors que la recourante n'était propriétaire que d'une partie de celle-ci, l'autre étant désormais gérée par l'administration de la faillite de C.________ SA.</w:t>
      </w:r>
    </w:p>
    <w:p>
      <w:r>
        <w:rPr>
          <w:b/>
        </w:rPr>
        <w:t>E. 3.2</w:t>
      </w:r>
    </w:p>
    <w:p>
      <w:r>
        <w:t>La juridiction précédente a correctement rappelé les principes applicables au règlement amiable des dettes ( art. 333 ss LP ), de sorte qu'il n'y a pas lieu d'y revenir ( art. 109 al. 3 LTF ). L'on rappellera néanmoins que les chances d'un règlement amiable doivent être estimées au regard non seulement de la situation patrimoniale actuelle du débiteur, qui doit disposer de moyens propres suffisants qu'il peut engager pour rembourser ses anciennes dettes, mais également de ses actifs ou revenus futurs (JUNOD MOSER/GAILLARD, in Dallèves/Foëx/ Jeandin (éd.), Commentaire romand, Poursuite et faillite, 2005, n. 4 ad art. 334 LP ).</w:t>
      </w:r>
    </w:p>
    <w:p>
      <w:r>
        <w:t>La recourante persiste à retenir dans son plan de refinancement la réalisation des parcelles appartenant à la société C.________ SA. Or ainsi que l'a relevé à juste titre la cour cantonale, la faillite de cette société a eu pour conséquence son dessaisissement ( art. 204 LP ), le pouvoir de disposer des biens composant sa masse active passant ainsi à l'administration de la faillite sans qu'il soit démontré que celle-ci serait disposée à permettre la vente desdites parcelles. Ces éléments patrimoniaux ne peuvent ainsi nullement être invoqués par la recourante à l'appui du plan de refinancement envisagé. Pour le reste, les critiques de la recourante sont essentiellement appellatoires, dès lors qu'elles ne visent pas à réfuter les motifs de l'autorité précédente, mais à leur opposer sa propre appréciation: l'intéressée se limite ainsi à affirmer que l'accord trouvé entre les parties pourrait parfaitement inclure des conditions suspensives - et donc des éléments incertains - et que seul le refinancement proposé lui permettrait de désintéresser tous ses créanciers et de la sortir définitivement de l'endettement; elle ne conteste toutefois aucun des autres critères retenus de manière pertinente par la Cour de justice pour exclure l'obtention du règlement amiable qu'elle sollicite.</w:t>
      </w:r>
    </w:p>
    <w:p>
      <w:r>
        <w:rPr>
          <w:b/>
        </w:rPr>
        <w:t>E. 4</w:t>
      </w:r>
    </w:p>
    <w:p>
      <w:r>
        <w:t>Dans la mesure où il est recevable, le recours doit être rejeté selon la procédure simplifiée prévue par l' art. 109 al. 2 let. a LTF . La recourante prendra en charge les frais judiciaires ( art. 66 al. 1 LTF ) ainsi qu'une indemnité de dépens en faveur de l'intimée qui s'est déterminée sur la requête d'effet suspensif, finalement déclarée sans objet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