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5A_116/2012 vom 25. Mai 2012</w:t>
      </w:r>
    </w:p>
    <w:p>
      <w:r>
        <w:t>Bundesgericht, 2012-05-25, DE</w:t>
      </w:r>
    </w:p>
    <w:p>
      <w:r>
        <w:rPr>
          <w:b/>
        </w:rPr>
        <w:t xml:space="preserve">Quelle: </w:t>
      </w:r>
      <w:r>
        <w:t>https://mcp.opencaselaw.ch/entscheid/bger_5A_116_2012</w:t>
      </w:r>
    </w:p>
    <w:p>
      <w:r>
        <w:t>FR: TF 5A_116/2012 du 25 mai 2012</w:t>
      </w:r>
    </w:p>
    <w:p>
      <w:r>
        <w:t>IT: TF 5A_116/2012 del 25 maggio 2012</w:t>
      </w:r>
    </w:p>
    <w:p>
      <w:pPr>
        <w:pStyle w:val="Heading2"/>
      </w:pPr>
      <w:r>
        <w:t>Erwägungen</w:t>
      </w:r>
    </w:p>
    <w:p>
      <w:r>
        <w:rPr>
          <w:b/>
        </w:rPr>
        <w:t>E. 1.1</w:t>
      </w:r>
    </w:p>
    <w:p>
      <w:r>
        <w:t>Umstritten ist die Erteilung der definitiven Rechtsöffnung und damit eine streitwertabhängige Schuldbetreibungssache ( Art. 72 Abs. 2 lit. a BGG ). Vor der Vorinstanz war der Betrag von Fr. 12'757.50 streitig ( Art. 51 Abs. 1 lit. a BGG ), womit die Streitwertgrenze von Fr. 30'000.-- ( Art. 74 Abs. 1 lit. b BGG ) nicht erreicht ist. Der Beschwerdeführer macht jedoch eine Rechtsfrage von grundsätzlicher Bedeutung geltend ( Art. 74 Abs. 2 lit. a BGG ). Der Begriff der Rechtsfrage von grundsätzlicher Bedeutung ist restriktiv auszulegen. Eine solche liegt vor, wenn sie zu einer erheblichen Rechtsunsicherheit führt und daher dringend einer Klärung durch das Bundesgericht bedarf ( BGE 135 III 397 E. 1.2 S. 399 mit Hinweisen).</w:t>
      </w:r>
    </w:p>
    <w:p>
      <w:r>
        <w:t>Der Beschwerdeführer bringt vor, die Beschwerdegegnerin habe ihren Anspruch zum grössten Teil auf das Urteil des Gerichtspräsidiums Aarau vom 14. Februar 2011 abgestellt, das später aufgehoben worden sei. Ihre Wahl müsse sie sich anrechnen lassen. Es genüge nicht, verschiedene Urteile vorzulegen und dem Gericht die Suche nach dem für die definitive Rechtsöffnung passenden zu überlassen. Es stelle sich die grundsätzliche Rechtsfrage, wie mit Betreibungen und Rechtsöffnungsgesuchen umzugehen sei, die sich auf Urteile über vorsorgliche Massnahmen abstützten, die später aufgehoben würden, gemäss Art. 315 Abs. 4 ZPO aber zunächst vollstreckbar seien.</w:t>
      </w:r>
    </w:p>
    <w:p>
      <w:r>
        <w:t>Diese Frage ist nicht von grundsätzlicher Bedeutung. Sie bedarf keiner dringenden Klärung durch das Bundesgericht und sie kann sich ohne weiteres auch in Fällen stellen, in denen der Streitwert erreicht ist (vgl. BGE 134 III 267 E. 1.2.3 S. 270 f.).</w:t>
      </w:r>
    </w:p>
    <w:p>
      <w:r>
        <w:t>Unklar ist, ob der Beschwerdeführer auch im Zusammenhang mit der Auslegung des Urteils vom 6. September 2007 und seinem Begehren um Erläuterung desselben (vgl. auch unten E. 3) eine Rechtsfrage von grundsätzlicher Bedeutung geltend machen will. Soweit dies der Fall sein sollte, genügt er jedenfalls den Begründungsanforderungen nicht, da er darlegen müsste, weshalb sich eine Rechtsfrage von grundsätzlicher Bedeutung stellt ( Art. 42 Abs. 2 Satz 2 BGG ; BGE 133 III 439 E. 2.2.2.1 S. 442).</w:t>
      </w:r>
    </w:p>
    <w:p>
      <w:r>
        <w:t>Die Beschwerde in Zivilsachen ist somit unzulässig.</w:t>
      </w:r>
    </w:p>
    <w:p>
      <w:r>
        <w:rPr>
          <w:b/>
        </w:rPr>
        <w:t>E. 1.2</w:t>
      </w:r>
    </w:p>
    <w:p>
      <w:r>
        <w:t>Zulässig ist einzig die subsidiäre Verfassungsbeschwerde ( Art. 113 BGG ). Eine solche erhebt der Beschwerdeführer denn auch subsidiär in einem separaten Teil seiner Eingabe. Mit der Verfassungsbeschwerde kann nur die Verletzung verfassungsmässiger Rechte gerügt werden ( Art. 116 BGG ). Bei Verfassungsrügen gilt das strenge Rügeprinzip (Art. 117 i.V.m. Art. 106 Abs. 2 BGG ). Die 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w:t>
      </w:r>
    </w:p>
    <w:p>
      <w:r>
        <w:rPr>
          <w:b/>
        </w:rPr>
        <w:t>E. 2</w:t>
      </w:r>
    </w:p>
    <w:p>
      <w:r>
        <w:t>Vor Obergericht war umstritten, ob die vom Beschwerdeführer bezahlten Internatskosten an die Kinderunterhaltsbeiträge angerechnet werden können. Der Beschwerdeführer hatte geltend gemacht, die von ihm bezahlten Internatskosten seien wesentlich höher ausgefallen als die üblichen Unterhaltsbeiträge. Diese Mehrleistungen sollten gestützt auf die Anrechnungsklausel in Ziff. 1.3 des Urteils vom 6. September 2007 angerechnet werden. Mit der Anrechnungsklausel habe sichergestellt werden sollen, dass der Beschwerdeführer finanziell nicht belastet würde, wenn die Beschwerdegegnerin die Kinder eigenmächtig aus dem Internat zurückhole.</w:t>
      </w:r>
    </w:p>
    <w:p>
      <w:r>
        <w:t>Das Obergericht hat erwogen, gemäss Ziff. 1.2 des Urteils vom 6. September 2007 habe sich der Beschwerdeführer verpflichtet, sämtliche Internatskosten zu übernehmen. Gemäss Ziff. 1.3 habe er sich verpflichtet, bis zum Eintritt der Kinder ins Internat und bei einem allfälligen Austritt aus dem Internat einen Unterhaltsbeitrag von EUR 350.-- zu bezahlen. Gemäss dem Schlusssatz von Ziff. 1.3 seien bereits geleistete Zahlungen anzurechnen. Unbestrittenermassen hätten die Kinder das Internat im Sommer 2010 verlassen. Die während der Internatszeit entstandenen Mehrkosten seien nach einem Internatsaustritt nicht an die Unterhaltsbeiträge anrechenbar. Gegenteiliges finde im Wortlaut keine Stütze. Vielmehr sei davon auszugehen, dass die Unterhaltsbeiträge nur solange entfallen sollten, als die Kinder im Internat untergebracht seien und dort versorgt würden. Das Obergericht hat zusätzlich auf die Erwägungen des Bezirksgerichts verwiesen. Dieses hat die Anrechenbarkeit gestützt auf systematische und teleologische Überlegungen ausgeschlossen. Insbesondere hat es festgehalten, Ziff. 1.3 bezwecke, den laufenden Kinderunterhalt sicherzustellen, was durch eine Anrechnung der Internatskosten unterlaufen würde. Es seien lediglich die vom Beschwerdeführer an die Beschwerdegegnerin erfolgten Zahlungen anrechenbar, aber nicht Zahlungen an Dritte (E. 12.2 des bezirksgerichtlichen Urteils). Schliesslich seien - so das Obergericht weiter - an den Beweis der Tilgung im Rahmen der definitiven Rechtsöffnung sehr hohe Anforderungen zu stellen. Erforderlich sei der strikte Gegenbeweis durch eine völlig eindeutige Urkunde.</w:t>
      </w:r>
    </w:p>
    <w:p>
      <w:r>
        <w:rPr>
          <w:b/>
        </w:rPr>
        <w:t>E. 3</w:t>
      </w:r>
    </w:p>
    <w:p>
      <w:r>
        <w:t>Der Beschwerdeführer rügt eine Verletzung des Anspruchs auf rechtliches Gehör ( Art. 29 Abs. 2 BV ; unten E. 3.1) und des Willkürverbotes ( Art. 9 BV ; unten E. 3.1 und 3.2).</w:t>
      </w:r>
    </w:p>
    <w:p>
      <w:r>
        <w:rPr>
          <w:b/>
        </w:rPr>
        <w:t>E. 3.1</w:t>
      </w:r>
    </w:p>
    <w:p>
      <w:r>
        <w:t>Eine Verletzung des rechtlichen Gehörs und zugleich Willkür sieht der Beschwerdeführer darin, dass beide Vorinstanzen keine Erläuterung des Urteils des Amtsgerichts Luzern-Land vom 6. September 2007 durch den damals zuständigen Amtsrichter Y.________ eingeholt haben. Durch eine Erläuterung hätten die Vorinstanzen den damaligen tatsächlichen Parteiwillen feststellen können, der im Vergleich festgehalten und danach zum Urteil erhoben worden sei.</w:t>
      </w:r>
    </w:p>
    <w:p>
      <w:r>
        <w:t>Gegen Prozesshandlungen des Bezirksgerichts Kriens kann der Beschwerdeführer nicht direkt Rügen erheben, da einzig das obergerichtliche Urteil Anfechtungsgegenstand bildet (Art. 114 i.V.m. Art. 75 Abs. 1 BGG ). Er kann lediglich geltend machen, dass das Obergericht allfällige diesbezügliche Rügen in seiner kantonalen Beschwerde falsch beurteilt habe. Da er die angeblichen Gehörsverletzungen durch das Bezirksgericht nicht bereits vor Obergericht geltend gemacht hat, ist er mit entsprechenden Rügen vor Bundesgericht ausgeschlossen ( BGE 135 III 424 E. 3.2 S. 429 mit Hinweisen).</w:t>
      </w:r>
    </w:p>
    <w:p>
      <w:r>
        <w:t>Im Übrigen ist unklar, ob es dem Beschwerdeführer um eine Erläuterung des Urteils des Amtsgerichts Luzern-Land vom 6. September 2007 im technischen Sinne geht oder um eine Befragung des damals zuständigen Amtsrichters über den damaligen Parteiwillen. Soweit er auf Ersteres abzielt, ist weder dargetan noch ersichtlich, gestützt auf welche Norm das Obergericht eine solche Erläuterung hätte einholen müssen oder dürfen. Soweit es dem Beschwerdeführer um Letzteres und damit um seinen Beweisführungsanspruch ( BGE 134 I 140 E. 5.3 S. 148) gehen sollte, legt er nicht dar, dass das Obergericht einen entsprechenden rechtzeitig und formrichtig gestellten Antrag übergangen hätte. Unter diesen Umständen erweist sich der Verzicht auf eine Erläuterung auch keineswegs als willkürlich (zum Begriff der Willkür sogleich E. 3.2.1). Entgegen der Ansicht des Beschwerdeführers ist es auch nicht Aufgabe des Bundesgerichts, im kantonalen Verfahren verpasste Anträge zu behandeln und selber eine Erläuterung einzuholen.</w:t>
      </w:r>
    </w:p>
    <w:p>
      <w:r>
        <w:rPr>
          <w:b/>
        </w:rPr>
        <w:t>E. 3.2</w:t>
      </w:r>
    </w:p>
    <w:p>
      <w:r>
        <w:t>Der Beschwerdeführer rügt Willkür bei der Sachverhaltsfeststellung und bei der Auslegung der ins Urteil vom 6. September 2007 integrierten Vereinbarung.</w:t>
      </w:r>
    </w:p>
    <w:p>
      <w:r>
        <w:rPr>
          <w:b/>
        </w:rPr>
        <w:t>E. 3.2.1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Entsprechendes gilt für die Willkür bei der Sachverhaltsfeststellung ( BGE 129 I 173 E. 3.1 S. 178 mit Hinweisen). Demgemäss erweist sich die Sachverhaltsfeststellung bzw. Beweiswürdigung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136 III 552 E. 4.2 S. 560).</w:t>
      </w:r>
    </w:p>
    <w:p>
      <w:r>
        <w:rPr>
          <w:b/>
        </w:rPr>
        <w:t>E. 3.2.2</w:t>
      </w:r>
    </w:p>
    <w:p>
      <w:r>
        <w:t>Der Beschwerdeführer macht geltend, die Vorinstanz habe den Zweck der Anrechnungsklausel verkannt. Mit ihr sei beabsichtigt gewesen, den Verbleib der Kinder im Internat zu sichern. Es sollte verhindert werden, dass die Beschwerdegegnerin die Kinder eigenmächtig zurückhole. Die Anrechnungsklausel habe finanziellen Druck erzeugen sollen. Falls die Beschwerdegegnerin die Kinder doch zurückholen würde, sollte sie wegen der Anrechnung für lange Zeit keine Unterhaltsbeiträge erhalten, da die Internatskosten massiv höher seien als die vereinbarten Unterhaltsbeiträge.</w:t>
      </w:r>
    </w:p>
    <w:p>
      <w:r>
        <w:t>Willkür bei der Auslegung der im Urteil vom 6. September 2007 genehmigten Vereinbarung ist weder ersichtlich noch genügend dargetan. Das Obergericht hat festgehalten, dass die Auslegung des Beschwerdeführers im Wortlaut keine Stütze finde. Es hat zudem auf die Erwägungen des Bezirksgerichts verwiesen, welches die Anrechenbarkeit gestützt auf systematische und teleologische Überlegungen ausgeschlossen hat (vgl. oben E. 2). Der Beschwerdeführer begründet seine Auslegung im Wesentlichen mit dem angeblichen damaligen Parteiwillen und dem Vertrauensprinzip. Er schildert damit jedoch bloss seine eigene Sicht der Dinge und setzt sie dem damaligen mutmasslichen Parteiwillen gleich. Mit den bezirksgerichtlichen Erwägungen, auf die die Vorinstanz verwiesen hat, setzt er sich nicht auseinander. Soweit er den Begründungsanforderungen an eine Willkürrüge überhaupt genügt, erweist sich die vorinstanzliche Auslegung jedenfalls nicht als offensichtlich unhaltbar.</w:t>
      </w:r>
    </w:p>
    <w:p>
      <w:r>
        <w:rPr>
          <w:b/>
        </w:rPr>
        <w:t>E. 3.2.3</w:t>
      </w:r>
    </w:p>
    <w:p>
      <w:r>
        <w:t>Willkür wirft der Beschwerdeführer der Vorinstanz zudem vor bei der Bestimmung des Zeitpunkts, bis zu dem die Kinder im Internat bzw. ab dem sie bei der Beschwerdegegnerin gewesen seien. Keine eigenständige Bedeutung kommt in diesem Zusammenhang seiner Rüge des überspitzten Formalismus zu ( Art. 29 Abs. 1 BV und Art. 6 Ziff. 1 EMRK ).</w:t>
      </w:r>
    </w:p>
    <w:p>
      <w:r>
        <w:t>Das Obergericht hat die Behauptungen des Beschwerdeführers, die Kinder hätten das Internat erst per September 2010 (und nicht per Anfangs Juli 2010) verlassen und es seien wegen der verspäteten Kündigung weitere Internatskosten angefallen, als neu erachtet und deshalb nicht berücksichtigt. Der Beschwerdeführer macht geltend, diese Tatsachen ergäben sich aus den "bei den Vorinstanzen aufgelegten Belegen mit den entsprechenden Rechnungen". Soweit er damit geltend macht, das Obergericht habe seine Behauptungen zu Unrecht als neu beurteilt, legt er nicht dar, aus welchen bereits dem Bezirksgericht vorliegenden Unterlagen sich diese Tatsachen ergeben sollen. Darauf ist nicht einzutreten. Konkret nennt er einzig eine Eingabe der Beschwerdegegnerin mit Beilagen an das Bezirksgericht Aarau, in der dies zugestanden sein soll. Der Beschwerdeführer behauptet aber diesbezüglich nicht, dass diese Dokumente auch dem Bezirksgericht Kriens vorgelegen haben. Es ist nicht Aufgabe des Bundesgerichts, die kantonalen Akten danach zu durchsuchen (vgl. BGE 133 IV 286 E. 6.2 S. 288). Darauf ist nicht einzutreten.</w:t>
      </w:r>
    </w:p>
    <w:p>
      <w:r>
        <w:rPr>
          <w:b/>
        </w:rPr>
        <w:t>E. 3.3</w:t>
      </w:r>
    </w:p>
    <w:p>
      <w:r>
        <w:t>Die Beschwerde ist damit abzuweisen, soweit auf sie eingetreten werden kann.</w:t>
      </w:r>
    </w:p>
    <w:p>
      <w:r>
        <w:rPr>
          <w:b/>
        </w:rPr>
        <w:t>E. 4</w:t>
      </w:r>
    </w:p>
    <w:p>
      <w:r>
        <w:t>Bei diesem Ausgang des Verfahrens trägt der Beschwerdeführer die Gerichtskosten ( Art. 66 Abs. 1 BGG ). Die Beschwerdegegnerin hat sich im Rahmen ihrer Stellungnahme zum Gesuch um aufschiebende Wirkung (Postaufgabe 8. März 2012) unaufgefordert zur Sache geäussert. Hiefür schuldet ihr der Beschwerdeführer keine Entschädigung ( Art. 68 Abs. 1 und 2 BGG ). Da sie sich der aufschiebenden Wirkung vergeblich widersetzt hat, ist auch insoweit keine Entschädigung geschuldet.</w:t>
      </w:r>
    </w:p>
    <w:p>
      <w:r>
        <w:t>Die Beschwerdegegnerin hat am 7. Mai 2012 (Postaufgabe) ein Gesuch um unentgeltliche Rechtspflege und Verbeiständung gestellt. Ihre erbetene Stellungnahme zum Gesuch um aufschiebende Wirkung und die unaufgeforderte Stellungnahme zur Sache hat sie jedoch bereits am 8. März 2012 der Post übergeben. Eine rückwirkende Gewährung der unentgeltlichen Rechtspflege kommt in der Regel nicht in Betracht (vgl. BGE 122 I 203 E. 2 S. 204 ff.). Anlass für eine Ausnahme besteht nicht.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