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113/2024 vom 16. Juli 2024</w:t>
      </w:r>
    </w:p>
    <w:p>
      <w:r>
        <w:t>Bundesgericht, 2024-07-16, FR</w:t>
      </w:r>
    </w:p>
    <w:p>
      <w:r>
        <w:rPr>
          <w:b/>
        </w:rPr>
        <w:t xml:space="preserve">Quelle: </w:t>
      </w:r>
      <w:r>
        <w:t>https://mcp.opencaselaw.ch/entscheid/bger_5A_113_2024</w:t>
      </w:r>
    </w:p>
    <w:p>
      <w:r>
        <w:t>FR: TF 5A 113/2024 du 16 juillet 2024</w:t>
      </w:r>
    </w:p>
    <w:p>
      <w:r>
        <w:t>IT: TF 5A 113/2024 del 16 luglio 2024</w:t>
      </w:r>
    </w:p>
    <w:p>
      <w:pPr>
        <w:pStyle w:val="Heading2"/>
      </w:pPr>
      <w:r>
        <w:t>Regeste</w:t>
      </w:r>
    </w:p>
    <w:p>
      <w:r>
        <w:t>hypothèque légale des artisans et entrepreneurs | Droits réels</w:t>
      </w:r>
    </w:p>
    <w:p>
      <w:pPr>
        <w:pStyle w:val="Heading2"/>
      </w:pPr>
      <w:r>
        <w:t>Erwägungen</w:t>
      </w:r>
    </w:p>
    <w:p>
      <w:r>
        <w:rPr>
          <w:b/>
        </w:rPr>
        <w:t>E. 1.1</w:t>
      </w:r>
    </w:p>
    <w:p>
      <w:r>
        <w:t>Déposé en temps utile ( art. 100 al. 1 LTF ) et dans la forme légale ( art. 42 al. 1 LTF ), le recours est dirigé contre une décision finale ( art. 90 LTF ) rendue sur recours par une autorité supérieure statuant en dernière instance cantonale ( art. 75 al. 1 et 2 LTF ), dans une affaire civile ( art. 72 al. 1 LTF ) de nature pécuniaire. La valeur litigieuse atteint le seuil requis ( art. 74 al. 1 let. b LTF ). La recourante, qui a pris part à la procédure devant l'autorité précédente et a un intérêt digne de protection à l'annulation ou la modification de la décision attaquée, a qualité pour recourir ( art. 76 al. 1 LTF ). Le recours est donc en principe recevable au regard des dispositions qui précèdent.</w:t>
      </w:r>
    </w:p>
    <w:p>
      <w:r>
        <w:rPr>
          <w:b/>
        </w:rPr>
        <w:t>E. 1.2</w:t>
      </w:r>
    </w:p>
    <w:p>
      <w:r>
        <w:t>Sous le titre " 5. Moyens de preuves " de son mémoire (p. 8), la recourante demande l'édition par la cour cantonale des dossiers C1 22 111 [procédure d'appel], C1 19 42 [procédure de 1ère instance en inscription définitive de l'hypothèque légale] et C2 18 99 [procédure de 1ère instance en inscription provisoire de l'hypothèque légale]. Sa requête est satisfaite, la juridiction précédente ayant déposé dits dossiers dans le délai imparti à cet effet ( art. 102 al. 2 LTF ). En revanche, la demande de production par le Tribunal de district de Sierre d'autres dossiers, soit les dossiers C2 21 130, C1 21 188 et C2 22 133, que la recourante formule sous ce même titre, ne saurait être accueillie, faute de motivation sur leur lien et leur pertinence pour l'issue de la présente cause, étant précisé que la "liste des procédures entre les parties avec indication des numéros des dossiers" est manifestement insuffisante à cet égard et que les dossiers concernés ne sont mentionnés ni dans l'arrêt querellé ni dans le jugement de première instance.</w:t>
      </w:r>
    </w:p>
    <w:p>
      <w:r>
        <w:rPr>
          <w:b/>
        </w:rPr>
        <w:t>E. 1.3</w:t>
      </w:r>
    </w:p>
    <w:p>
      <w:r>
        <w:t>La recourante a produit en vrac un lot de pièces non numérotées avec son mémoire de recours. Seules les pièces qui figurent au dossier cantonal ne sont pas nouvelles et sont donc recevables à l'aune de l' art. 99 al. 1 LTF . Tel n'est en revanche pas le cas des 11 déclarations écrites des sous-traitants, qui ont été écartées du dossier cantonal par ordonnance de preuve du juge de district du 22 janvier 2021 et retournées à la recourante (annexes à la pièce 22 produite à l'appui d'une écriture de la recourante du 21 janvier 2021). Est également irrecevable le rapport d'expertise du 31 octobre 2022 " figurant dans la procédure de preuves à futur ", soit dans un autre dossier dont on ignore tout. Au demeurant, il n'apparaît pas que la recourante se soit prévalue de ce rapport d'expertise en instance d'appel, alors que celui-ci est antérieur à l'arrêt querellé. Elle est donc en tout état de cause forclose à s'en prévaloir à ce stade.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III 364 précité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(parmi plusieurs: arrêt 4A_40/2021 du 10 juin 2021 consid. 3.2 et les références, publié in SJ 2021 I 451). Ce principe s'applique également lorsqu'une partie n'a pas soulevé de moyen de droit dans la procédure cantonale et était de ce fait uniquement partie intimée (parmi plusieurs: arrêt 5A_80/2023 du 11 octobre 2023 consid. 2.4 et la référence). En l'occurrence, si tant est qu'elle entend soulever un grief de violation de l' art. 311 al. 1 CPC , ce qui apparaît douteux, les développements que la recourante consacre aux ch. 7.2.1 à 7.2.2.5 de son recours sous le chapitre " Nécessité de motivation de la déclaration d'appel " sont irrecevables, faute d'épuisement matériel des instances cantonales.</w:t>
      </w:r>
    </w:p>
    <w:p>
      <w:r>
        <w:rPr>
          <w:b/>
        </w:rPr>
        <w:t>E. 3</w:t>
      </w:r>
    </w:p>
    <w:p>
      <w:r>
        <w:t>La recourante se plaint d'un établissement arbitraire ( art. 9 Cst. ) des faits, en tant que la cour cantonale a considéré que la preuve de l'exécution des travaux n'avait pas été apportée.</w:t>
      </w:r>
    </w:p>
    <w:p>
      <w:r>
        <w:rPr>
          <w:b/>
        </w:rPr>
        <w:t>E. 3.1</w:t>
      </w:r>
    </w:p>
    <w:p>
      <w:r>
        <w:t>Selon la jurisprudence, lorsque les travaux ont déjà été exécutés - et que d'autres travaux ne sont pas prévus, notamment en raison d'une résiliation anticipée du contrat - l'hypothèque légale ne peut porter que sur le travail effectivement réalisé, respectivement sur la valeur de celui-ci convenue contractuellement (cf. arrêt 5A_378/2022 du 17 novembre 2022 consid. 3.3 et les références). Pour pouvoir arrêter cette valeur, il convient, préalablement, de déterminer précisément le travail et les matériaux fournis. Il incombe dès lors à l'entrepreneur de décrire de manière détaillée les prestations concrètement fournies et qu'il en apporte la preuve, soit qu'il démontre avoir exécuté ses obligations ( ATF 126 III 467 consid. 4d). Les prestations concrètes, en travail et en matériaux, et leur prix doivent être détaillés, le cas échéant pour chaque bien-fonds. Des prix globaux ou forfaitaires ne dispensent pas l'entrepreneur de cette obligation souvent conséquente (arrêt 5A_924/2014 du 7 mai 2015 consid. 4.1.3.1).</w:t>
      </w:r>
    </w:p>
    <w:p>
      <w:r>
        <w:rPr>
          <w:b/>
        </w:rPr>
        <w:t>E. 3.2</w:t>
      </w:r>
    </w:p>
    <w:p>
      <w:r>
        <w:t>En l'espèce, la cour cantonale a retenu que le contrat d'entreprise totale liant les parties avait été résilié le 4 janvier 2018. Elle en a déduit que le montant du gage devait être limité aux travaux convenus qui avaient été exécutés à cette date, à l'exclusion des prestations qui n'étaient plus dues par l'entrepreneur à la suite de la résiliation, et qu'il fallait examiner si celui-ci avait prouvé la part des travaux qui avaient été réalisés. La cour cantonale a ensuite constaté que l'entrepreneur total avait allégué dans son mémoire-demande qu'il avait adressé aux maîtres de l'ouvrage une demande d'acompte de 162'000 fr. le 1er juin 2017 et de 540'000 fr. le 1er décembre 2017, qu'à la fin du chantier, toutes les prestations liées à ces demandes d'acomptes avaient été effectuées soit par lui soit par l'intermédiaire de ses sous-traitants et que le montant final dû pour ces travaux s'élevait à 756'831 fr. 55 conformément aux " courriers informatifs " qu'il avait adressés aux maîtres de l'ouvrage les 23 octobre 2017, 1er décembre 2017 et 20 janvier 2018. Comme moyens de preuve, il avait produit à l'appui de ces allégués les deux demandes d'acomptes, les factures des entreprises sous-traitantes et les trois " courriers informatifs " énumérant ces sous-traitants et les montants totaux qu'ils avaient réclamés. Dans le mémoire-réponse, les maîtres de l'ouvrage avaient contesté que toutes les prestations facturées aient été exécutées. Dans la réplique, l'entrepreneur total, reprenant les informations contenues dans les factures des sous-traitants, avait exposé les types de travaux effectués par ces entreprises jusqu'à la résiliation et les montants facturés par chacune d'entre elles. Comme preuves, il renvoyait, comme dans son mémoire-demande, aux factures déposées, proposait d'entendre les représentants des sous-traitants comme témoins et de faire administrer une expertise. Dans la duplique, les maîtres de l'ouvrage avaient admis les montants facturés par l'architecte D.________ (montant de 70'000 fr.), par E.________ SA (21'841 fr. 15) et par F.________ SA (2'613 fr.), tout en soutenant que ces prestations n'étaient pas incluses dans le contrat d'entreprise totale. Ils avaient contesté tous les autres allégués relatifs aux travaux exécutés par les sous-traitants et aux montants dus pour ces travaux. La cour cantonale a ensuite retenu que les preuves administrées avaient consisté en l'interrogatoire comme parties de B.B.________ et de G.________, associé unique de A.________ Sàrl, et en l'audition comme témoins des représentants des sous-traitants H.________ SA, I.________, F.________ SA, J.________ et K.________ et de D.________. B.B.________ avait déclaré n'avoir pas réglé les deux acomptes déposés sous pièce 7 au motif que les prestations n'avaient pas été exécutées. Le représentant de A.________ Sàrl n'avait quant à lui pas été interrogé sur cette thématique. Enfin, quatre sous-traitants avaient confirmé avoir effectué les travaux facturés (L.________ pour H.________ SA; I.________; J.________; M.________ pour F.________ SA) et être toujours en attente du paiement. Ces témoins ayant manifestement un intérêt à la cause, la cour cantonale a jugé qu'on ne pouvait considérer l'exécution de leurs prestations comme prouvées sur la base de leurs seules déclarations. L'entrepreneur total avait par ailleurs renoncé à l'expertise qui aurait pu démontrer que les travaux facturés avaient bel et bien été réalisés. Dans ces circonstances, l'inscription de l'hypothèque légale devait être limitée aux travaux dont l'exécution et les prix avaient été reconnus par les maîtres de l'ouvrage, soit les factures de l'architecte D.________ (70'000 fr.), de E.________ SA (21'841 fr. 15) et du F.________ SA (2'613 fr.). Pour le reste, les conditions de l'inscription d'une telle hypothèque n'étaient pas remplies, faute pour l'entrepreneur total d'avoir prouvé quelle partie des travaux avait été réalisée et, partant, l'étendue de la garantie hypothécaire.</w:t>
      </w:r>
    </w:p>
    <w:p>
      <w:r>
        <w:rPr>
          <w:b/>
        </w:rPr>
        <w:t>E. 3.3</w:t>
      </w:r>
    </w:p>
    <w:p>
      <w:r>
        <w:t>La recourante reproche à la cour cantonale d'avoir retenu arbitrairement, soit " contre [d]es évidences documentées ", qu'elle n'avait pas apporté la preuve de l'exécution des travaux. Elle estime que les acomptes versés, les " arrêtés de comptes ", les factures déposées, ainsi que les déclarations des témoins " confortant cette documentation " étaient à cet égard suffisants " au niveau de la vraisemblance (...) dans ce genre de procédure ". Elle rappelle que les sous-traitants entendus en qualité de témoins avaient déposé " sous les sanctions proscrivant le faux témoignage ". Il était ainsi inimaginable qu'ils se soient concertés pour faire état de travaux qui n'auraient jamais été exécutés. Le procès-verbal du 9 septembre 2021 relatif notamment aux auditions des sous-traitants confirmait l'exécution des travaux, les accords conclus avec les intimés portant notamment sur la reprise du chantier, la véracité des montants facturés, etc. L'exécution des travaux était en outre corroborée par les onze déclarations (écrites) des sous-traitants, qui la mentionnaient toutes. Si elles étaient mensongères, de telles déclarations seraient constitutives de faux dans les titres. Par ailleurs, le " récapitulatif des factures ouvertes ", " qui constituerait [également] un faux dans les titres s'il était faux ", incluait dix " arrêtés de comptes " admis par la direction des travaux, lesquels correspondaient, de par leur nature, à des travaux exécutés et réalisés, " dont le rapport d'expertise a[vait] établi la bonne facture, la qualité et l'absence de défauts ", et cinq factures également admises telles quelles par la direction des travaux. Ces pièces attestaient clairement de l'exécution des travaux et du montant de ceux-ci, qui devait d'ailleurs être mis en relation avec celui du contrat d'entreprise totale (3'300'000 fr.). Les intimés n'avaient du reste jamais allégué, notamment en procédure d'appel, que les travaux des sous-traitants n'avaient pas été réalisés. Ils s'étaient contenté de contester " en bloc " sans fournir le moindre détail sur les travaux qui n'auraient prétendument pas été effectués, contrairement aux constatations et aux attestations émanant de la direction des travaux. La cour cantonale ne pouvait donc pas sans arbitraire s'écarter de la position exprimée par le tribunal de district puisque cette autorité avait entendu tous les témoins et avait très clairement indiqué, conformément à la jurisprudence, que les contestations non explicitées par les intimés n'étaient absolument pas suffisantes. La recourante se réfère encore à la détermination (sur appel) de son ancien conseil du 4 juillet 2022, dont elle reproduit en partie le contenu. Elle souligne en outre que les intimés n'avaient pas exigé la production du rapport d'expertise rendu " dans le cadre de la procédure de preuves à futur ", puisque celui-ci ne leur permettait pas de démontrer leurs allégations et attestait au contraire de l'exécution parfaite et sans défauts des travaux réalisés.</w:t>
      </w:r>
    </w:p>
    <w:p>
      <w:r>
        <w:rPr>
          <w:b/>
        </w:rPr>
        <w:t>E. 3.4</w:t>
      </w:r>
    </w:p>
    <w:p>
      <w:r>
        <w:t>En tant que l'argumentation de la recourante se fonde sur les déclarations écrites des sous-traitants ainsi que sur l'expertise rendue " dans le cadre de la procédure de preuves à futur ", elle ne saurait être prise en compte (cf. supra consid. 1.3). De même, le renvoi à la détermination sur l'appel des intimés ne satisfait pas aux exigences de motivation et n'est dès lors pas admissible (cf. supra consid. 2.1; cf. aussi ATF 138 IV 47 consid. 2.8.1; 134 I 303 consid. 1.3). Enfin, l'arrêt querellé ne fait pas état d'un quelconque " récapitulatif des factures ouvertes " ni d'aucun " arrêté de compte " qui auraient été produits comme moyens de preuve, seules les demandes d'acomptes, les factures des entreprises sous-traitantes et trois " courriers informatifs " étant mentionnés à ce titre. Cela étant, la recourante se plaint de ce que la cour cantonale lui a en définitive reproché l'absence d'allégués et d'offres de preuve suffisants. Elle perd toutefois de vue qu'il n'est en rien critiquable d'exiger de l'entrepreneur qu'il établisse précisément les prestations réalisées jusqu'à la résiliation du contrat et que, faute d'allégation et de preuve suffisantes, on en déduise, comme l'ont fait les juges précédents, qu'il n'est pas possible d'en déterminer la valeur (cf. supra consid. 3.1). Dans cette mesure, les arguments que la recourante entend tirer de l'absence de contestation détaillée de ses allégués par les intimés tombe à faux. Ce n'est en effet qu'en présence d'allégués suffisants qu'il aurait été possible de tenir les prestations de la recourante pour établies en cas de contestation insuffisante, puis d'en fixer le prix et donc de déterminer le montant du gage. Or, sauf à énoncer sans autre description les pièces censées prouver ses prestations, dont certaines ne sont même pas mentionnées dans l'arrêt attaqué, la recourante s'abstient de désigner quels seraient les allégués permettant de déterminer précisément les travaux effectivement réalisés et le matériel livré que la cour cantonale aurait arbitrairement lu ou ignoré. S'agissant notamment de l'allégation des factures des sous-traitants portant, selon l'arrêt attaqué, sur un montant total, elle ne démontre pas que ses parties adverses et le tribunal auraient obtenu les informations qui leur étaient nécessaires au sens de la jurisprudence (cf. ATF 144 III 519 consid. 5.2.1.2; arrêt 4A_164/2021 du 21 décembre 2021 consid. 3.2 et les autres références). Par ailleurs, pour ce qui est des témoignages des quatre sous-traitants entendus par le juge de district, la cour cantonale a exposé les motifs qui empêchaient selon elle de leur accorder une valeur probante. Il appartenait donc à la recourante d'en démontrer l'arbitraire. Or elle se contente de relever que les sous-traitants ont déposé "sous les sanctions proscrivant un faux témoignage" et de se référer, sans plus ample explication, au procès-verbal de l'audience du 9 septembre 2021. Ce faisant, elle ne réfute nullement de manière argumentée le fait que lesdits sous-traitants, qui étaient toujours en attente de paiements, avaient manifestement un intérêt à la cause. Au vu de ce qui précède, on ne saurait reprocher à la cour cantonale d'avoir outrepassé son pouvoir d'appréciation en retenant que l'inscription de l'hypothèque légale devait être limitée aux travaux dont l'exécution et les prix avaient été reconnus par les intimés, la recourante ayant échoué à prouver quelles prestations elle avait concrètement fournies. Autant que recevable, le grief est rejeté.</w:t>
      </w:r>
    </w:p>
    <w:p>
      <w:r>
        <w:rPr>
          <w:b/>
        </w:rPr>
        <w:t>E. 4</w:t>
      </w:r>
    </w:p>
    <w:p>
      <w:r>
        <w:t>En définitive, le recours est rejeté dans la mesure de sa recevabilité. La recourante, qui succombe, supportera les frais judiciaires ( art. 66 al. 1 LTF ). Il n'y a pas lieu d'allouer de dépens aux intimés, qui s'en sont remis à justice sur la question de l'effet suspensif et qui n'ont pas été invités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