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113/2020 vom 11. Februar 2020</w:t>
      </w:r>
    </w:p>
    <w:p>
      <w:r>
        <w:t>Bundesgericht, 2020-02-11, DE</w:t>
      </w:r>
    </w:p>
    <w:p>
      <w:r>
        <w:rPr>
          <w:b/>
        </w:rPr>
        <w:t xml:space="preserve">Quelle: </w:t>
      </w:r>
      <w:r>
        <w:t>https://mcp.opencaselaw.ch/entscheid/bger_5A_113_2020</w:t>
      </w:r>
    </w:p>
    <w:p>
      <w:r>
        <w:t>FR: TF 5A 113/2020 du 11 février 2020</w:t>
      </w:r>
    </w:p>
    <w:p>
      <w:r>
        <w:t>IT: TF 5A 113/2020 del 11 febbraio 2020</w:t>
      </w:r>
    </w:p>
    <w:p>
      <w:pPr>
        <w:pStyle w:val="Heading2"/>
      </w:pPr>
      <w:r>
        <w:t>Regeste</w:t>
      </w:r>
    </w:p>
    <w:p>
      <w:r>
        <w:t>Aufschiebende Wirkung (Besuchsrecht und Unterhalt) | Familienrecht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Beschwerdegegenstand bildet ein Entscheid über die aufschiebende Wirkung, was eine vorsorgliche Massnahme im Sinn von Art. 98 BGG darstellt ( BGE 134 II 192 E. 1.5 S. 197; Urteile 5A_665/2018 vom 18. September 2018; 5A_513/2019 vom 9. Juli 2019); bei solchen Entscheiden können gemäss Art. 98 BGG nur verfassungsmässige Rechte als verletzt gerügt werden, wofür das strikte Rügeprinzip gemäss Art. 106 Abs. 2 BGG gilt. Gleichzeitig geht es bei der aufschiebenden Wirkung um einen Zwischenentscheid (vgl. BGE 134 II 192 E. 1.5 S. 197; Urteile 5A_665/2018 vom 18. September 2018; 5A_513/2019 vom 9. Juli 2019), der nur unter den besonderen Voraussetzungen von Art. 93 Abs. 1 BGG mit Beschwerde beim Bundesgericht angefochten werden kann, wobei diese in der Beschwerde darzutun sind ( BGE 137 III 324 E. 1.1 S. 329; 141 IV 289 E. 1.3 S. 292).</w:t>
      </w:r>
    </w:p>
    <w:p>
      <w:r>
        <w:rPr>
          <w:b/>
        </w:rPr>
        <w:t>E. 2</w:t>
      </w:r>
    </w:p>
    <w:p>
      <w:r>
        <w:t>Die Beschwerde erfüllt weder die eine noch die andere Voraussetzung. Der Beschwerdeführer äussert sich zu den Voraussetzungen von Art. 93 Abs. 1 BGG mit keinem Wort und im Übrigen erhebt er auch keine Verfassungsrügen, sondern beschränkt sich auf rein appellatorische Ausführungen, wie sie im Verfassungsbereich ungenügend sind ( BGE 134 II 244 E. 2.2 S. 246; 142 III 364 E. 2.4 S. 368).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4</w:t>
      </w:r>
    </w:p>
    <w:p>
      <w:r>
        <w:t>Wie die vorstehenden Erwägungen zeigen, konnte der Beschwerde von Anfang an kein Erfolg beschieden sein, weshalb es an den materiellen Voraussetzungen der unentgeltlichen Rechtspflege fehlt ( Art. 64 Abs. 1 BGG ) und das entsprechende Gesuch abzuweisen ist.</w:t>
      </w:r>
    </w:p>
    <w:p>
      <w:r>
        <w:rPr>
          <w:b/>
        </w:rPr>
        <w:t>E. 5</w:t>
      </w:r>
    </w:p>
    <w:p>
      <w:r>
        <w:t>Die Gerichtskosten sind dem Beschwerdeführer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