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5A_113/2012 vom 1. Juni 2012</w:t>
      </w:r>
    </w:p>
    <w:p>
      <w:r>
        <w:t>Bundesgericht, 2012-06-01, DE</w:t>
      </w:r>
    </w:p>
    <w:p>
      <w:r>
        <w:rPr>
          <w:b/>
        </w:rPr>
        <w:t xml:space="preserve">Quelle: </w:t>
      </w:r>
      <w:r>
        <w:t>https://mcp.opencaselaw.ch/entscheid/bger_5A_113_2012</w:t>
      </w:r>
    </w:p>
    <w:p>
      <w:r>
        <w:t>FR: TF 5A_113/2012 du 1 juin 2012</w:t>
      </w:r>
    </w:p>
    <w:p>
      <w:r>
        <w:t>IT: TF 5A_113/2012 del 1 giugno 2012</w:t>
      </w:r>
    </w:p>
    <w:p>
      <w:pPr>
        <w:pStyle w:val="Heading2"/>
      </w:pPr>
      <w:r>
        <w:t>Erwägungen</w:t>
      </w:r>
    </w:p>
    <w:p>
      <w:r>
        <w:rPr>
          <w:b/>
        </w:rPr>
        <w:t>E. 1.1</w:t>
      </w:r>
    </w:p>
    <w:p>
      <w:r>
        <w:t>Angefochten ist ein kantonal letztinstanzlicher ( Art. 75 Abs. 1 BGG ), ausschliesslich finanzielle Aspekte der Trennung regelnder Eheschutzentscheid. Mithin handelt es sich um einen Endentscheid ( Art. 90 BGG ) in einer vermögensrechtlichen Zivilsache ( Art. 72 Abs. 1 BGG ). Der gemäss Art. 74 Abs. 1 lit. b BGG erforderliche Streitwert übersteigt Fr. 30'000.--. Damit sind die Voraussetzungen für die Beschwerde in Zivilsachen im Grundsatz erfüllt.</w:t>
      </w:r>
    </w:p>
    <w:p>
      <w:r>
        <w:rPr>
          <w:b/>
        </w:rPr>
        <w:t>E. 1.2</w:t>
      </w:r>
    </w:p>
    <w:p>
      <w:r>
        <w:t>Eheschutzentscheide sind Entscheide über vorsorgliche Massnahmen im Sinne von Art. 98 BGG ( BGE 133 III 393 E. 5 S. 396 f.).</w:t>
      </w:r>
    </w:p>
    <w:p>
      <w:r>
        <w:t>Im Rahmen von Art. 98 BGG kann nur die Verletzung verfassungsmässiger Rechte gerügt werden. Zur Anwendung gelangt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Die gerügten verfassungsmässigen Rechte sind namentlich zu benennen, ebenso die Gesetzesnormen, deren willkürliche Anwendung beanstandet wird. Wird die Verletzung des Willkürverbots gerügt, reicht es zudem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1.3</w:t>
      </w:r>
    </w:p>
    <w:p>
      <w:r>
        <w:t>Die Sachverhaltsfeststellung der Vorinstanz ist für das Bundesgericht grundsätzlich verbindlich ( Art. 105 Abs. 1 BGG ). Gemäss Art. 99 Abs. 1 BGG dürfen neue Tatsachen und Beweismittel nur soweit vorgebracht werden, als erst der Entscheid der Vorinstanz dazu Anlass gibt. In der Beschwerde ist ausserdem darzutun, inwiefern dies der Fall sein soll. Solches ist vorliegend weder dargetan noch sonstwie ersichtlich, so dass auf entsprechende neue Tatsachen und Beweismittel nicht einzutreten ist.</w:t>
      </w:r>
    </w:p>
    <w:p>
      <w:r>
        <w:rPr>
          <w:b/>
        </w:rPr>
        <w:t>E. 1.4</w:t>
      </w:r>
    </w:p>
    <w:p>
      <w:r>
        <w:t>Die Beschwerde in Zivilsachen steht nur gegen Entscheide letzter kantonaler Instanzen offen ( Art. 75 Abs. 1 BGG ). Letztinstanzlichkeit gemäss Art. 75 Abs. 1 BGG bedeutet, dass der kantonale Instanzenzug für die Rügen, die dem Bundesgericht vorgetragen werden, ausgeschöpft sein muss ( BGE 134 III 524 E. 1.3 S. 527).</w:t>
      </w:r>
    </w:p>
    <w:p>
      <w:r>
        <w:t>Vorliegend hat der Beschwerdeführer den erstinstanzlichen Entscheid vom 17. August 2011, der ihn bedingt zu Unterhaltszahlungen verpflichtete (s. oben Sachverhalt A. am Ende), in der Sache nicht angefochten. Soweit er daher eine vollständige Befreiung von seiner Unterhaltspflicht verlangt, kann darauf nicht eingetreten werden. Zulässig sind seine Rügen einzig insofern, als sie sich gegen die ihm von der Vorinstanz erstmals auferlegte unbedingte Zahlung von Unterhalt richten.</w:t>
      </w:r>
    </w:p>
    <w:p>
      <w:r>
        <w:rPr>
          <w:b/>
        </w:rPr>
        <w:t>E. 2</w:t>
      </w:r>
    </w:p>
    <w:p>
      <w:r>
        <w:t>Strittig ist vorliegend das dem Beschwerdeführer von der Vorinstanz angerechnete hypothetische Einkommen.</w:t>
      </w:r>
    </w:p>
    <w:p>
      <w:r>
        <w:rPr>
          <w:b/>
        </w:rPr>
        <w:t>E. 2.1</w:t>
      </w:r>
    </w:p>
    <w:p>
      <w:r>
        <w:t>Bei der Festsetzung von Unterhaltsbeiträgen darf vom tatsächlichen Leistungsvermögen der unterhaltsberechtigten (wie auch der unterhaltsverpflichteten) Person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w:t>
      </w:r>
    </w:p>
    <w:p>
      <w:r>
        <w:t>Mit Bezug auf das hypothetische Einkommen ist Rechtsfrage, welche Tätigkeit aufzunehmen oder auszudehnen als zumutbar erscheint. Ob die als zumutbar erkannte Tätigkeit möglich und das angenommene Einkommen effektiv erzielbar ist, bildet hingegen eine Tatfrage (vgl. zum Ganzen BGE 137 III 118 E. 2.3 S. 121; 137 III 102 E. 4.2.2.2 S. 108; 128 III 4 E. 4c/bb S. 7).</w:t>
      </w:r>
    </w:p>
    <w:p>
      <w:r>
        <w:rPr>
          <w:b/>
        </w:rPr>
        <w:t>E. 2.2</w:t>
      </w:r>
    </w:p>
    <w:p>
      <w:r>
        <w:t>Die Vorinstanz stellte - wie bereits die erste Instanz - fest, dass der Beschwerdeführer seit 1. April 2011 als Taxifahrer bei der Firma TiB in Kriens ein monatliches Einkommen von durchschnittlich Fr. 2'129.-- erzielt; da das erwähnte Taxiunternehmen klein sei und nur über eine sog. B-Bewilligung verfüge (d.h. ohne Benutzungsrecht öffentlicher Standplätze), sei eine Einkommenssteigerung im Rahmen dieser Tätigkeit nicht möglich. Vor der Anstellung bei der TiB habe der Beschwerdeführer zuerst als Chauffeur gearbeitet und sei alsdann arbeitslos gewesen. Während seiner Arbeitslosigkeit habe er sich intensiv, aber vergeblich um eine erneute Anstellung als Chauffeur bemüht. Vor diesem Hintergrund sei es nicht zu beanstanden, dass die erste Instanz den Beschwerdeführer abgestuft zu Unterhaltszahlungen verpflichtet habe.</w:t>
      </w:r>
    </w:p>
    <w:p>
      <w:r>
        <w:t>Ab April 2012, d.h. nach rund einjähriger Tätigkeit als Taxifahrer, sei es dem Beschwerdeführer allerdings zumutbar, ein Einkommen zu erzielen, das ihm die Erfüllung seiner Unterhaltsverpflichtungen ermögliche, und zwar im Rahmen einer Anstellung bei einem grösseren Taxiunternehmen, als Chauffeur der Kategorien C bzw. E oder ansonsten als Hilfskraft im Tieflohnbereich (wie namentlich Lagerbewirtschaftung oder Reinigung). Mit derartigen Tätigkeiten könne ein monatliches Einkommen von mindestens Fr. 3'200.-- erzielt werden. Der erstinstanzliche Entscheid sei daher dahin gehend abzuändern, dass der Beschwerdeführer ab 1. April 2012 einen Kinderunterhaltsbeitrag von monatlich Fr. 450.-- sowie einen Ehegattenunterhaltsbeitrag von monatlich Fr. 400.-- schulde.</w:t>
      </w:r>
    </w:p>
    <w:p>
      <w:r>
        <w:rPr>
          <w:b/>
        </w:rPr>
        <w:t>E. 2.3</w:t>
      </w:r>
    </w:p>
    <w:p>
      <w:r>
        <w:t>Der Beschwerdeführer führt hiergegen im Wesentlichen ins Feld, die vorinstanzliche Anrechnung eines hypothetischen Einkommens ab 1. April 2012 verletze die in Art. 27 BV verankerte Wirtschaftsfreiheit und im Besonderen sein verfassungsmässiges Recht, einen Beruf frei wählen zu können ( Art. 27 Abs. 2 BV ). Es fehle an den für Grundrechtseinschränkungen nötigen Voraussetzungen gemäss Art. 36 BV .</w:t>
      </w:r>
    </w:p>
    <w:p>
      <w:r>
        <w:rPr>
          <w:b/>
        </w:rPr>
        <w:t>E. 2.4</w:t>
      </w:r>
    </w:p>
    <w:p>
      <w:r>
        <w:t>Das vom Beschwerdeführer kritisierte hypothetische Einkommen beruht vorliegend auf Art. 285 ZGB (Kinderunterhalt) sowie auf Art. 163 ZGB (Ehegattenunterhalt; dazu BGE 137 III 385 E. 3 S. 387). Art. 27 BV kommt hinsichtlich des im ZGB geregelten Eheschutzes und der Kinderbelange keine eigenständige Bedeutung zu, was vom Beschwerdeführer auch nicht behauptet wird ( BGE 133 III 585 E. 3.4 S. 587). Auf die Beschwerde ist insoweit nicht einzutreten.</w:t>
      </w:r>
    </w:p>
    <w:p>
      <w:r>
        <w:rPr>
          <w:b/>
        </w:rPr>
        <w:t>E. 3</w:t>
      </w:r>
    </w:p>
    <w:p>
      <w:r>
        <w:t>Ob die Erzielung eines hypothetischen Einkommens im erwähnten Umfang tatsächlich möglich ist, bildet eine für das Bundesgericht grundsätzlich verbindliche Tatfrage (s. oben E. 2.1 Absatz 2). Der Beschwerdeführer stellt diese Möglichkeit in Frage, ohne aber eine qualifizierte Sachverhaltsrüge zu erheben; auf seine Ausführungen ist nicht einzutreten (s. oben E. 1.3).</w:t>
      </w:r>
    </w:p>
    <w:p>
      <w:r>
        <w:rPr>
          <w:b/>
        </w:rPr>
        <w:t>E. 4</w:t>
      </w:r>
    </w:p>
    <w:p>
      <w:r>
        <w:t>Ferner führt der Beschwerdeführer ins Feld, die Vorinstanz habe zu Unrecht im Berufungsverfahren neu von ihm eingereichte Urkunden nicht berücksichtigt und insofern willkürlich gehandelt bzw. sein rechtliches Gehör verletzt. Diese Urkunden würden nämlich belegen, dass die Beschwerdegegnerin über Einkommen und Vermögen aus dem Iran verfüge. Der Vorwurf trifft nicht zu. Die Vorinstanz hat zu den eingereichten Unterlagen ausgeführt, selbst unter Berücksichtigung dieses Einkommens von monatlich Fr. 500.-- sei die Beschwerdegegnerin auf die Unterhaltsbeiträge des Beschwerdeführers angewiesen. Diese Feststellung kritisiert der Beschwerdeführer mit dem Hinweis, es müssten sich vorliegend beide Elternteile einschränken. Damit ist allerdings keine Willkür dargetan. Ausserdem behauptet der Beschwerdeführer Tatsachen, die im vorinstanzlichen Entscheid keine Stütze finden; teilweise handelt es sich auch um unzulässige echte Noven. Darauf ist nicht einzutreten.</w:t>
      </w:r>
    </w:p>
    <w:p>
      <w:r>
        <w:rPr>
          <w:b/>
        </w:rPr>
        <w:t>E. 5</w:t>
      </w:r>
    </w:p>
    <w:p>
      <w:r>
        <w:t>Schliesslich kritisiert der Beschwerdeführer die Höhe der vorinstanzlich zugesprochenen Parteientschädigung, die jede Partei selber zu tragen hat, für welche jedoch die unentgeltliche Rechtspflege gewährt wurde.</w:t>
      </w:r>
    </w:p>
    <w:p>
      <w:r>
        <w:t>Die durch einen unentgeltlichen Rechtsbeistand vertretene Partei ist nicht legitimiert, die Höhe der festgesetzten Entschädigung anzufechten, denn der Rechtsvertreter ist selbst bei einem zu tief angesetzten Honorar nicht berechtigt, zusätzlich Rechnung zu stellen. Insofern ist die Partei durch den Entscheid nicht besonders berührt bzw. hat kein schutzwürdiges Interesse an seiner Abänderung ( Art. 76 Abs. 1 lit. b BGG ; Urteil M 2/06 vom 17. September 2007 E. 5.3.3, publiziert in: Anwaltsrevue 2008 S. 31; Urteil 5A_312/2007 vom 10. Juli 2007 E. 1.3; Urteil 5A_451/2011 vom 25. Juli 2011 E. 1.3; Urteil 5D_205/2011 vom 24. Januar 2012 E. 2.3.3). Auf diese Rüge ist nicht einzutreten.</w:t>
      </w:r>
    </w:p>
    <w:p>
      <w:r>
        <w:rPr>
          <w:b/>
        </w:rPr>
        <w:t>E. 6</w:t>
      </w:r>
    </w:p>
    <w:p>
      <w:r>
        <w:t>Nach dem Gesagten muss die Beschwerde abgewiesen werden, soweit darauf eingetreten werden kann. Der Beschwerdeführer wird damit kosten- und entschädigungspflichtig ( Art. 66 Abs. 1 und Art. 68 Abs. 2 BGG ). Wie die vorstehenden Erwägungen zeigen, muss die Beschwerde als von Anfang an aussichtslos bezeichnet werden, weshalb es an einer materiellen Voraussetzung der unentgeltlichen Rechtspflege fehlt ( Art. 64 Abs. 1 BGG ) und das entsprechende Gesuch des Beschwerdeführers abzuweisen ist.</w:t>
      </w:r>
    </w:p>
    <w:p>
      <w:r>
        <w:t>Die Beschwerdegegnerin hat ein Gesuch um unentgeltliche Rechtspflege und Verbeiständung gestellt, dessen Voraussetzungen erfüllt sind. Ihr Gesuch ist indessen gegenstandslos geworden ( BGE 109 Ia 5 E. 5 S. 11), soweit es die Befreiung von den Gerichtskosten betrifft, weil sie ohnehin keine Verfahrenskosten zu tragen hat. Dagegen ist es nicht gegenstandslos geworden, soweit es die Bestellung eines unentgeltlichen Rechtsbeistandes betrifft. Im Verfahren um aufschiebende Wirkung hat die Beschwerdegegnerin obsiegt. Entsprechend ist ihr eine Parteientschädigung zuzusprechen, aber es bestehen begründete Zweifel an deren Einbringlichkeit. Diesfalls wäre der unentgeltliche Rechtsbeistand aus der Bundesgerichtskasse zu entschädigen ( Art. 64 Abs. 2 BGG ; BGE 122 I 322 E. 3d S. 326 f.). Unter dem Vorbehalt der Uneinbringlichkeit ist dem unentgeltlichen Rechtsbeistand der Beschwerdegegnerin eine Entschädigung für das Verfahren um aufschiebende Wirkung zuzusprechen.</w:t>
      </w:r>
    </w:p>
    <w:p>
      <w:r>
        <w:t>Die Kostenbefreiung steht unter dem Vorbehalt, dass die Beschwerdegegnerin der Bundesgerichtskasse Ersatz zu leisten hat, wenn sie später dazu im Stande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