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5A_111/2015 vom 20. Oktober 2015</w:t>
      </w:r>
    </w:p>
    <w:p>
      <w:r>
        <w:t>Bundesgericht, 2015-10-20, FR</w:t>
      </w:r>
    </w:p>
    <w:p>
      <w:r>
        <w:rPr>
          <w:b/>
        </w:rPr>
        <w:t xml:space="preserve">Quelle: </w:t>
      </w:r>
      <w:r>
        <w:t>https://mcp.opencaselaw.ch/entscheid/bger_5A_111_2015</w:t>
      </w:r>
    </w:p>
    <w:p>
      <w:r>
        <w:t>FR: TF 5A_111/2015 du 20 octobre 2015</w:t>
      </w:r>
    </w:p>
    <w:p>
      <w:r>
        <w:t>IT: TF 5A_111/2015 del 20 ottobre 2015</w:t>
      </w:r>
    </w:p>
    <w:p>
      <w:pPr>
        <w:pStyle w:val="Heading2"/>
      </w:pPr>
      <w:r>
        <w:t>Erwägungen</w:t>
      </w:r>
    </w:p>
    <w:p>
      <w:r>
        <w:rPr>
          <w:b/>
        </w:rPr>
        <w:t>E. 1</w:t>
      </w:r>
    </w:p>
    <w:p>
      <w:r>
        <w:t>La décision statuant sur la modification d'une contribution d'entretien fixée dans une convention homologuée est sujette au recours en matière civile ( art. 72 al. 1 LTF ) lorsque, comme en l'espèce, la valeur litigieuse atteint 30'000 fr. (art. 51 al. 4 et 74 al. 1 let. b LTF). Interjeté contre une décision finale ( art. 90 LTF ) rendue en dernière instance cantonale ( art. 75 LTF ), par une partie qui a succombé dans ses conclusions prises devant l'autorité précédente ( art. 76 al. 1 LTF ), le recours est en principe recevable. Il a en outre été déposé dans le délai (art. 45 al. 1 et 100 al. 1 LTF) et la forme ( art. 42 LTF ) prévus par la loi.</w:t>
      </w:r>
    </w:p>
    <w:p>
      <w:r>
        <w:rPr>
          <w:b/>
        </w:rPr>
        <w:t>E. 2</w:t>
      </w:r>
    </w:p>
    <w:p>
      <w:r>
        <w:t>Le recours en matière civile peut être interjeté pour violation du droit fédéral ( art. 95 let. a LTF ), y compris le droit constitutionnel ( ATF 136 I 241 consid. 2.1 p.247;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3</w:t>
      </w:r>
    </w:p>
    <w:p>
      <w:r>
        <w:t>Invoquant des violations de son droit d'être entendu ( art. 29 al. 2 Cst. ) - grief d'ordre formel qu'il convient d'examiner en premier ( ATF 132 V 387 consid. 5.1 p. 390) -, le recourant se plaint du silence de l'arrêt cantonal sur la recevabilité de deux allégations nouvelles (la diminution des frais d'accueil pour enfants en milieu scolaire [ci-après: frais d'APEMS]; la grossesse de son épouse), lesquelles étaient assorties d'une demande et d'une offre de preuve, ainsi que sur la question de la nécessité d'une représentation de l'enfant par un curateur en raison du conflit d'intérêts avec la mère. Il reproche en outre à la Cour d'appel civile d'avoir statué sans débats, le privant ainsi d'une instruction sur ces faits nouveaux et de la possibilité de plaider sur la question de la " légitimation active de la mère ".</w:t>
      </w:r>
    </w:p>
    <w:p>
      <w:r>
        <w:rPr>
          <w:b/>
        </w:rPr>
        <w:t>E. 3.1</w:t>
      </w:r>
    </w:p>
    <w:p>
      <w:r>
        <w:t>Le droit d'être entendu, tel qu'il est garanti à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 279 consid. 2.3 p. 282).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t>La jurisprudence a également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p. 183; 138 IV 81 consid. 2.2 p. 84; 134 I 83 consid. 4.1 p. 88 et les arrêts cités; ATF 133 III 235 consid. 5.2 p. 248; 126 I 97 consid. 2b p. 102; 125 III 440 consid. 2a p. 441).</w:t>
      </w:r>
    </w:p>
    <w:p>
      <w:r>
        <w:rPr>
          <w:b/>
        </w:rPr>
        <w:t>E. 3.2</w:t>
      </w:r>
    </w:p>
    <w:p>
      <w:r>
        <w:t>En l'espèce, pour le calcul de la contribution d'entretien, la Cour d'appel civile s'est fondée sur la méthode dite du pourcentage - ce dernier étant fixé selon le nombre d'enfants bénéficiaires - dont elle a pondéré le résultat en fonction, d'une part, des frais particuliers liés à un droit de visite accru et, d'autre part, de la différence de revenus des parents. Elle est en outre partie du principe que la mère assumait les frais fixes tels que la prime d'assurance maladie ainsi que les frais de cours, d'écolages et d'APEMS. Or, durant le deuxième échange d'écritures devant cette autorité, le recourant avait, dans sa duplique du 3 novembre 2014, affirmé que les frais d'APEMS avaient diminué depuis la rentrée scolaire 2014/2015 et requis de la mère de sa fille qu'elle produise les pièces justificatives à cet égard. Il avait en outre allégué et offert de prouver que sa femme était enceinte de trois mois et que, partant ses charges allaient augmenter dans un proche avenir. Bien que l'instance précédente ait mentionné l'existence de la détermination du 3 novembre 2014 dans l'arrêt attaqué, elle semble avoir totalement ignoré son contenu et, en particulier, les allégations nouvelles susmentionnées qui n'étaient pas dépourvues de pertinence au vu du raisonnement qu'elle a suivi. En omettant d'indiquer les motifs pour lesquels celles-là n'étaient pas recevables ou n'avaient pas à être prises en considération et ne nécessitaient pas l'administration de preuves, elle a violé le droit d'être entendu du recourant.</w:t>
      </w:r>
    </w:p>
    <w:p>
      <w:r>
        <w:rPr>
          <w:b/>
        </w:rPr>
        <w:t>E. 3.3</w:t>
      </w:r>
    </w:p>
    <w:p>
      <w:r>
        <w:t>S'agissant de la question de la nécessité d'une représentation de l'enfant par un curateur en raison d'un conflit d'intérêts avec la mère - qui ressortit à la capacité d'ester en justice et non à la légitimation active comme semble le penser le recourant -, force est de relever que l'arrêt attaqué est muet sur ce point, alors même que l'existence d'un conflit d'intérêts a été invoqué dans la réponse du 5 août 2014 et la duplique du 3 novembre 2014. Si un tel conflit a certes été nié par le tribunal de première instance dans le jugement incident du 20 septembre 2013, sans que le recourant ne critique cette décision et implicitement confirmé dans celui au fond du 31 mars 2014 indiquant que la question avait été définitivement tranchée, il n'est pas exclu qu'il puisse intervenir en cours de procédure en cas de modifications des circonstances (cf. NICOLAS JEANDIN, in Code de procédure civile commenté, Bâle 2011, n</w:t>
      </w:r>
    </w:p>
    <w:p>
      <w:r>
        <w:t>o 18 ad art. 67 CPC ), étant entendu qu'une mise en danger abstraite des intérêts du représenté suffit (arrêt 5C.84/2004 du 2 septembre 2004 consid. 2.1 - 2.2 publiés à la FamPra.ch 2005 p. 198 et les références : ATF 118 II 101 consid. 4; 107 II 105 consid. 4 p. 109; ERNST LANGENEGGER, Basler Kommentar, Zivilgesetzbuch I, 4</w:t>
      </w:r>
    </w:p>
    <w:p>
      <w:r>
        <w:t>e éd., 2010, n</w:t>
      </w:r>
    </w:p>
    <w:p>
      <w:r>
        <w:t>o 26 ad art. 392 CC ; SCHNYDER/MURER, Berner Kommentar, Band II/3/1, 1984, n</w:t>
      </w:r>
    </w:p>
    <w:p>
      <w:r>
        <w:t>o 84 ad art. 392 CC et les références citées). Le point ayant été soulevé, l'autorité cantonale se devait de juger en quoi elle n'avait pas à entrer en matière ou en quoi elle devait nier le conflit. A défaut, elle a violé le droit d'être entendu du recourant.</w:t>
      </w:r>
    </w:p>
    <w:p>
      <w:r>
        <w:t>L'arrêt attaqué devant être annulé pour ces motifs d'ordre formel, il n'est pas nécessaire d'examiner les autres griefs du recourant.</w:t>
      </w:r>
    </w:p>
    <w:p>
      <w:r>
        <w:rPr>
          <w:b/>
        </w:rPr>
        <w:t>E. 4</w:t>
      </w:r>
    </w:p>
    <w:p>
      <w:r>
        <w:t>Vu ce qui précède, le recours doit être admis pour violations du droit d'être entendu, l'arrêt attaqué annulé et la cause renvoyée à l'autorité cantonale pour nouvelle décision dans le sens des considérants. L'intimée, qui succombe, supportera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