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5A_111/2012 vom 27. Februar 2012</w:t>
      </w:r>
    </w:p>
    <w:p>
      <w:r>
        <w:t>Bundesgericht, 2012-02-27, DE</w:t>
      </w:r>
    </w:p>
    <w:p>
      <w:r>
        <w:rPr>
          <w:b/>
        </w:rPr>
        <w:t xml:space="preserve">Quelle: </w:t>
      </w:r>
      <w:r>
        <w:t>https://mcp.opencaselaw.ch/entscheid/bger_5A_111_2012</w:t>
      </w:r>
    </w:p>
    <w:p>
      <w:r>
        <w:t>FR: TF 5A_111/2012 du 27 février 2012</w:t>
      </w:r>
    </w:p>
    <w:p>
      <w:r>
        <w:t>IT: TF 5A_111/2012 del 27 febbraio 2012</w:t>
      </w:r>
    </w:p>
    <w:p>
      <w:pPr>
        <w:pStyle w:val="Heading2"/>
      </w:pPr>
      <w:r>
        <w:t>Erwägungen</w:t>
      </w:r>
    </w:p>
    <w:p>
      <w:r>
        <w:rPr>
          <w:b/>
        </w:rPr>
        <w:t>E. 1</w:t>
      </w:r>
    </w:p>
    <w:p>
      <w:r>
        <w:t>Angefochten ist ein letztinstanzlicher kantonaler Endentscheid ( Art. 75 Abs. 1 und Art. 90 BGG ) betreffend fürsorgerische Freiheitsentziehung. Er betrifft eine öffentlich-rechtliche Angelegenheit, die in engem Zusammenhang mit dem Zivilrecht steht und demzufolge mit Beschwerde in Zivilsachen beim Bundesgericht angefochten werden kann (Art. 72 Abs. 2 lit. b Ziff. 6 BGG). Die begründete Ausfertigung des angefochtenen Urteils ist der Beschwerdeführerin am 3. Januar 2012 zugestellt worden, womit die Beschwerdefrist am 2. Februar 2012 abgelaufen ist ( Art. 100 Abs. 1 BGG ). Die an diesem Tag eingereichte Beschwerde ist damit rechtzeitig erfolgt.</w:t>
      </w:r>
    </w:p>
    <w:p>
      <w:r>
        <w:rPr>
          <w:b/>
        </w:rPr>
        <w:t>E. 2</w:t>
      </w:r>
    </w:p>
    <w:p>
      <w:r>
        <w:t>Die Einweisung bzw. die Zurückbehaltung in einer Anstalt gestützt auf Art. 397a Abs. 1 ZGB erfordert, dass die betroffene Person infolge der im Gesetz umschriebenen Schwächezustände persönlicher Fürsorge bedarf, die ihr nur in einer Anstalt gewährt werden kann ( BGE 114 II 213 E. 5; siehe zum Ganzen: BGE 134 III 289 E. 4).</w:t>
      </w:r>
    </w:p>
    <w:p>
      <w:r>
        <w:rPr>
          <w:b/>
        </w:rPr>
        <w:t>E. 2.1</w:t>
      </w:r>
    </w:p>
    <w:p>
      <w:r>
        <w:t>Das Appellationsgericht ist im Fall der Beschwerdeführerin gestützt auf die durchgeführte Begutachtung, die Befragung der Gutachter und der Betroffenen anlässlich der Verhandlung vom 8. Dezember 2011 von einer schweren Alkoholabhängigkeit mit schwerwiegenden psychophysischen und sozialen Folgeschäden ausgegangen, hat eine ambulante Behandlung als ungeeignete Lösung verworfen und eine Langzeitbehandlung der Suchterkrankung in einer Anstalt als erforderlich erachtet.</w:t>
      </w:r>
    </w:p>
    <w:p>
      <w:r>
        <w:rPr>
          <w:b/>
        </w:rPr>
        <w:t>E. 2.2</w:t>
      </w:r>
    </w:p>
    <w:p>
      <w:r>
        <w:t>Ist wie hier ein Fall der Alkoholsucht zu beurteilen, hat die zuständige Instanz ein Sachverständigengutachten einzuholen, das sich insbesondere über den Gesundheitszustand der betroffenen Person, aber auch darüber zu äussern hat, wie sich allfällige gesundheitliche Störungen hinsichtlich der Gefahr einer Selbst- oder Drittgefährdung, aber auch der Verwahrlosung auswirken können und ob sich daraus ein Handlungsbedarf ergibt ( BGE 137 III 289 E. 4.5). In diesem Zusammenhang interessiert insbesondere, mit welcher konkreten Gefahr für die Gesundheit oder das Leben der betroffenen Person bzw. von Dritten zu rechnen ist, wenn die Behandlung der Sucht bzw. ihrer gesundheitlichen Folgen unterbleibt (zum Erfordernis der konkreten Gefahr: Urteile 5A_312/2007 vom 10. Juli 2007 E. 2.3; 5A_288/2011 vom 19. Mai 2011 E. 5.3). Im Weiteren ist durch den Gutachter zu prüfen, ob aufgrund des festgestellten Handlungsbedarfs eine stationäre Behandlung unerlässlich ist. Dabei hat der Experte auch darüber Auskunft zu geben, ob die betroffene Person über glaubwürdige Krankheits- und Behandlungseinsicht verfügt. Als Letztes hat der Experte zu beantworten, ob eine Anstalt zur Verfügung steht und wenn ja, (nötigenfalls) warum die vorgeschlagene Anstalt für die Behandlung der Beschwerdeführerin infrage kommt (siehe zum Ganzen BGE 137 III 289 E. 4.5).</w:t>
      </w:r>
    </w:p>
    <w:p>
      <w:r>
        <w:rPr>
          <w:b/>
        </w:rPr>
        <w:t>E. 3</w:t>
      </w:r>
    </w:p>
    <w:p>
      <w:r>
        <w:t>Die Beschwerdeführerin bezeichnet die getroffene Massnahme als unverhältnismässig. Zur Begründung lässt sie einmal erörtern, die Sicherstellung der Therapie vermöge für sich allein die Aufrechterhaltung der fürsorgerischen Freiheitsentziehung nicht zu rechtfertigen, solange aus dem Schwächezustand keine Selbstgefährdung drohe. Der Gutachter spreche zwar von der Gefahr einer massiven tödlichen Alkoholintoxikation, ohne aber die Eintretenswahrscheinlichkeit dieser Gefährdung einzuschätzen, die ja bei allen Alkoholkranken bestehe. Die bloss abstrakte Gefährdung reiche für die Aufrechterhaltung der fürsorgerischen Freiheitsentziehung nicht aus.</w:t>
      </w:r>
    </w:p>
    <w:p>
      <w:r>
        <w:t>Dr. med. Z.________ hat in seinem Gutachten vom 28. November 2011 befunden, bei der Beschwerdeführerin bestehe die Gefahr, dass sie sich einer ambulanten Behandlung entziehe und der Kreislauf wieder von vorn beginne und es sogar zu einer tödlichen Alkoholintoxikation komme. Wie die Beschwerdeführerin zu Recht bemerkt, äussert sich der Experte nicht dazu, ob in ihrem Fall aufgrund der Sucht eine konkrete, d.h. unmittelbar bevorstehende Todesgefahr besteht; er belässt es vielmehr bei einer Beschreibung einer abstrakten Todesgefahr, die für die Anordnung einer fürsorgerischen Freiheitsentziehung nicht genügen kann. Sodann wird auch nicht konkret erörtert, ob sich schwerwiegende, durch die Sucht begründete gesundheitliche Folgeschäden im Fall unterbliebener Behandlung einstellen oder verschlimmern. Schliesslich fehlen im Gutachten vom 23. August 2011 klare Ausführungen zur Frage, ob bei der Beschwerdeführerin eine glaubwürdige Krankheits- und Behandlungseinsicht besteht.</w:t>
      </w:r>
    </w:p>
    <w:p>
      <w:r>
        <w:rPr>
          <w:b/>
        </w:rPr>
        <w:t>E. 4</w:t>
      </w:r>
    </w:p>
    <w:p>
      <w:r>
        <w:t>Da sich die tatsächlichen Feststellungen mit Bezug auf die Behandlungs- und Krankheitseinsicht und hinsichtlich der konkreten und unmittelbaren Gefahr als unvollständig erwiesen haben, ist der angefochtene Entscheid aufzuheben. Das bedeutet aber nicht, dass die Beschwerdeführerin sofort zu entlassen ist. Vielmehr ist die Sache zur Ergänzung des Sachverhalts in den genannten Punkten und zu neuer Entscheidung an die Vorinstanz zurückzuweisen. Die Vorinstanz hat innert 14 Tage ab Zustellung der begründeten Ausfertigung des bundesgerichtlichen Urteils neu zu entscheiden. Kann nicht innert dieser Frist entschieden werden, ist die Beschwerdeführerin zu entlassen.</w:t>
      </w:r>
    </w:p>
    <w:p>
      <w:r>
        <w:rPr>
          <w:b/>
        </w:rPr>
        <w:t>E. 5</w:t>
      </w:r>
    </w:p>
    <w:p>
      <w:r>
        <w:t>Da dem Kanton Basel-Stadt keine Kosten auferlegt werden können ( Art. 66 Abs. 4 BGG ) werden keine Kosten erhoben ( Art. 66 Abs. 1 BGG ). Er hat jedoch die Beschwerdeführerin für das bundesgerichtliche Verfahren zu entschädigen ( Art. 68 Abs. 1 BGG ).</w:t>
      </w:r>
    </w:p>
    <w:p>
      <w:r>
        <w:rPr>
          <w:b/>
        </w:rPr>
        <w:t>E. 6</w:t>
      </w:r>
    </w:p>
    <w:p>
      <w:r>
        <w:t>Mit der vorliegenden Kosten- und Entschädigungsregelung wird das Gesuch der Beschwerdeführerin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