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5A_1119/2025 vom 8. Januar 2026</w:t>
      </w:r>
    </w:p>
    <w:p>
      <w:r>
        <w:t>Bundesgericht, 2026-01-08, DE</w:t>
      </w:r>
    </w:p>
    <w:p>
      <w:r>
        <w:rPr>
          <w:b/>
        </w:rPr>
        <w:t xml:space="preserve">Quelle: </w:t>
      </w:r>
      <w:r>
        <w:t>https://mcp.opencaselaw.ch/entscheid/bger_5A_1119_2025</w:t>
      </w:r>
    </w:p>
    <w:p>
      <w:r>
        <w:t>FR: TF 5A_1119/2025 du 8 janvier 2026</w:t>
      </w:r>
    </w:p>
    <w:p>
      <w:r>
        <w:t>IT: TF 5A_1119/2025 del 8 gennaio 2026</w:t>
      </w:r>
    </w:p>
    <w:p>
      <w:pPr>
        <w:pStyle w:val="Heading2"/>
      </w:pPr>
      <w:r>
        <w:t>Erwägungen</w:t>
      </w:r>
    </w:p>
    <w:p>
      <w:r>
        <w:rPr>
          <w:b/>
        </w:rPr>
        <w:t>E. 1</w:t>
      </w:r>
    </w:p>
    <w:p>
      <w:r>
        <w:t>Gegen kantonal letztinstanzliche Entscheide betreffend Rechtsverweigerung in Zivilsachen kann beim Bundesgericht Beschwerde erhoben werden ( Art. 72 Abs. 1,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erwogen, nach dem seinerzeitigen Rückzug der Beschwerde vor Obergericht sei der bezirksgerichtliche Entscheid vom 12. April 2024 in Rechtskraft erwachsen. Die materielle Rechtskraft schliesse Angriffe auf sämtliche Tatsachen aus, die im Urteilszeitpunkt bereits bestanden hätten. Darin liege keine Rechtsverweigerung. Im Übrigen hätten die Beschwerdeführer auch keine Revisionsgründe vorgebracht, weshalb insofern ebenfalls keine Rechtsverweigerung ersichtlich sei.</w:t>
      </w:r>
    </w:p>
    <w:p>
      <w:r>
        <w:rPr>
          <w:b/>
        </w:rPr>
        <w:t>E. 4</w:t>
      </w:r>
    </w:p>
    <w:p>
      <w:r>
        <w:t>Die Ausführungen der Beschwerdeführer sind teils polemisch und sie nehmen keinen konkreten Bezug auf die ausführlichen Erwägungen des angefochtenen Entscheides. Vielmehr wird abstrakt die Verletzung zahlreicher Grundrechte behauptet, ohne dass dargelegt würde, inwiefern dies im Einzelnen der Fall sein soll.</w:t>
      </w:r>
    </w:p>
    <w:p>
      <w:r>
        <w:t>Soweit die Beschwerdeführer monieren, der angefochtene Entscheid sei von bloss drei Oberrichtern gefällt worden und es sei in Erinnerung zu rufen, dass sie gegen zahlreiche (andere) Oberrichter mehrere Strafanzeigen wegen Amtsmissbrauch etc. eingereicht hätten, scheinen die Beschwerdeführer, zumal sie Art. 47 ZPO und Art. 30 Abs. 1 BV erwähnen, sinngemäss den Ausstand zu behaupten. Indes bringen sie keine konkreten Anhaltspunkte für Ausstandsgründe in Bezug auf die drei am angefochtenen Entscheid mitwirkenden Oberrichter vor. Ferner kann ein Ausstandsbegehren nicht institutionell, d.h. gegen ein Gericht oder eine Abteilung erhoben werden (vgl. BGE 105 Ib 301 E. 1a S. 302 f.; Urteile 5A_118/2022 vom 15. März 2022 E. 3; 6B_821/2022 vom 29. August 2022 E. 4).</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werden die Anträge betreffend aufschiebende Wirkung, Verfahrenssistierung etc.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