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5A_1118/2025 vom 31. Dezember 2025</w:t>
      </w:r>
    </w:p>
    <w:p>
      <w:r>
        <w:t>Bundesgericht, 2025-12-31, DE</w:t>
      </w:r>
    </w:p>
    <w:p>
      <w:r>
        <w:rPr>
          <w:b/>
        </w:rPr>
        <w:t xml:space="preserve">Quelle: </w:t>
      </w:r>
      <w:r>
        <w:t>https://mcp.opencaselaw.ch/entscheid/bger_5A_1118_2025</w:t>
      </w:r>
    </w:p>
    <w:p>
      <w:r>
        <w:t>FR: TF 5A_1118/2025 du 31 décembre 2025</w:t>
      </w:r>
    </w:p>
    <w:p>
      <w:r>
        <w:t>IT: TF 5A_1118/2025 del 31 dicembre 2025</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festgestellt, dass der per Einschreiben versandte KESB-Entscheid gemäss der Sendungsinformation der Post (act. 3 S. 3 und act. 8/10, vgl. angefochtener Entscheid S. 5) am 9. Oktober 2024 am Postschalter abgeholt und ausgehändigt wurde. Er sei adressiert gewesen an "Familie B.A.________ und A.A.________", mithin entgegen der Behauptung des Beschwerdeführers auch an ihn selbst. In rechtlicher Hinsicht hat das Obergericht erwogen, die fast ein Jahr später erfolgte Beschwerdeführung sei verspätet.</w:t>
      </w:r>
    </w:p>
    <w:p>
      <w:r>
        <w:rPr>
          <w:b/>
        </w:rPr>
        <w:t>E. 3</w:t>
      </w:r>
    </w:p>
    <w:p>
      <w:r>
        <w:t>Der Beschwerdeführer behauptet in appellatorischer und somit unzulässiger Weise einen anderen Sachverhalt, nämlich, dass sie als Eltern den Entscheid nie erhalten hätten, dass es keinen Zustellnachweis gebe und dass sie in einem grossen Wohnkomplex mit rund 130 Haushalten leben würden, weshalb Fehlzustellungen eine reale Gefahr seien. Selbst wenn die im weiteren Verlauf der Beschwerde abstrakt geltend gemachten Gehörs- und Willkürrügen im vorstehenden Kontext zu lesen wären, wäre mit diesen mangels sachgerichteter Auseinandersetzung mit den Feststellungen des angefochtenen Entscheides keine Verfassungsverletzung dargetan, denn das Obergericht hat sich, wie bereits der Bezirksrat, auf die Sendungsverfolgung der Post gestützt, wonach der KESB-Entscheid am Postschalter entgegengenommen worden ist und mit der Behauptung, den Entscheid nie erhalten zu haben, ist weder Willkür noch eine Gehörsverletzung darzutun.</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