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110/2020 vom 11. Februar 2020</w:t>
      </w:r>
    </w:p>
    <w:p>
      <w:r>
        <w:t>Bundesgericht, 2020-02-11, DE</w:t>
      </w:r>
    </w:p>
    <w:p>
      <w:r>
        <w:rPr>
          <w:b/>
        </w:rPr>
        <w:t xml:space="preserve">Quelle: </w:t>
      </w:r>
      <w:r>
        <w:t>https://mcp.opencaselaw.ch/entscheid/bger_5A_110_2020</w:t>
      </w:r>
    </w:p>
    <w:p>
      <w:r>
        <w:t>FR: TF 5A 110/2020 du 11 février 2020</w:t>
      </w:r>
    </w:p>
    <w:p>
      <w:r>
        <w:t>IT: TF 5A 110/2020 del 11 febbraio 2020</w:t>
      </w:r>
    </w:p>
    <w:p>
      <w:pPr>
        <w:pStyle w:val="Heading2"/>
      </w:pPr>
      <w:r>
        <w:t>Regeste</w:t>
      </w:r>
    </w:p>
    <w:p>
      <w:r>
        <w:t>Regelung der elterlichen Sorge | Familienrecht</w:t>
      </w:r>
    </w:p>
    <w:p>
      <w:pPr>
        <w:pStyle w:val="Heading2"/>
      </w:pPr>
      <w:r>
        <w:t>Erwägungen</w:t>
      </w:r>
    </w:p>
    <w:p>
      <w:r>
        <w:rPr>
          <w:b/>
        </w:rPr>
        <w:t>E. 1</w:t>
      </w:r>
    </w:p>
    <w:p>
      <w:r>
        <w:t>Die Beschwerde hat ein Rechtsbegehren und in rechtlicher Hinsicht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 Zu beachten ist weiter, dass der von der Vorinstanz festgestellte Sachverhalt für das Bundesgericht grundsätzlich verbindlich ist ( Art. 105 Abs. 1 BGG ). Diesbezüglich kann nur eine willkürliche Sachverhaltsfeststellung gerügt werden, für welche das strenge Rügeprinzip gilt (Art. 97 Abs. 1 i.V.m. Art. 106 Abs. 2 BGG ). Das heisst, dass klare Willkürrügen zu erheben sind und appellatorische Ausführungen nicht genügen ( BGE 140 III 264 E. 2.3 S. 266).</w:t>
      </w:r>
    </w:p>
    <w:p>
      <w:r>
        <w:rPr>
          <w:b/>
        </w:rPr>
        <w:t>E. 2</w:t>
      </w:r>
    </w:p>
    <w:p>
      <w:r>
        <w:t>Die Beschwerde enthält kein Rechtsbegehren. In Bezug auf den Sachverhalt wird einfach die eigene Sicht der Dinge geschildert und namentlich behauptet, entgegen den Ausführungen der KESB bzw. des Obergerichtes habe sich das Verhältnis nicht gebessert und sei der Kontakt schlecht; all diese Ausführungen werden aber in appellatorischer Form vorgetragen und können somit nicht gehört werden. Als rechtlich kann das Vorbringen angesehen werden, der Vater bezahle keinen Unterhalt; indes ist diese Frage für die Erteilung der gemeinsamen Sorge oder der Belassung der Alleinsorge nicht relevant.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