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5A_10/2020 vom 8. Januar 2020</w:t>
      </w:r>
    </w:p>
    <w:p>
      <w:r>
        <w:t>Bundesgericht, 2020-01-08, DE</w:t>
      </w:r>
    </w:p>
    <w:p>
      <w:r>
        <w:rPr>
          <w:b/>
        </w:rPr>
        <w:t xml:space="preserve">Quelle: </w:t>
      </w:r>
      <w:r>
        <w:t>https://mcp.opencaselaw.ch/entscheid/bger_5A_10_2020</w:t>
      </w:r>
    </w:p>
    <w:p>
      <w:r>
        <w:t>FR: TF 5A_10/2020 du 8 janvier 2020</w:t>
      </w:r>
    </w:p>
    <w:p>
      <w:r>
        <w:t>IT: TF 5A_10/2020 del 8 gennaio 2020</w:t>
      </w:r>
    </w:p>
    <w:p>
      <w:pPr>
        <w:pStyle w:val="Heading2"/>
      </w:pPr>
      <w:r>
        <w:t>Erwägungen</w:t>
      </w:r>
    </w:p>
    <w:p>
      <w:r>
        <w:rPr>
          <w:b/>
        </w:rPr>
        <w:t>E. 1</w:t>
      </w:r>
    </w:p>
    <w:p>
      <w:r>
        <w:t>Das Rechtsbegehren ist insofern genügend im Sinn von Art. 42 Abs. 1 BGG , als aus der Eingabe der klare Wille hervorgeht, nicht aufgrund einer fürsorgerischen Unterbringung in der Klinik zu sein bzw. sofort aus dieser entlassen zu werden.</w:t>
      </w:r>
    </w:p>
    <w:p>
      <w:r>
        <w:rPr>
          <w:b/>
        </w:rPr>
        <w:t>E. 2</w:t>
      </w:r>
    </w:p>
    <w:p>
      <w:r>
        <w:t>Indes war anfänglich nicht klar, gegen was sich die Beschwerdeführerin genau richtet. Sie spricht in ihrer Eingabe in allgemeiner Weise von Kidnapping durch falsche Polizisten, obwohl sie im September von einem Gericht freigesprochen (gemeint wohl: aus einem früheren Klinikaufenthalt entlassen) worden sei, und davon, dass die KESB als Menschenhandelsorganisation bekannt sei, ohne dass sie ihrer Eingabe ein Anfechtungsobjekt beigelegt hätte. In der Folge wurde beim Obergericht von Amtes wegen nach hängigen Verfahren gefragt und es wurden der erwähnte Entscheid sowie die erwähnte Verfügung ediert.</w:t>
      </w:r>
    </w:p>
    <w:p>
      <w:r>
        <w:rPr>
          <w:b/>
        </w:rPr>
        <w:t>E. 3</w:t>
      </w:r>
    </w:p>
    <w:p>
      <w:r>
        <w:t>Was den obergerichtlichen Entscheid vom 17. Dezember 2019 anbelangt, liegt dieser bislang nur im Dispositiv vor; angefochten werden kann jedoch erst der vollständig ausgefertigte, d.h. begründete Entscheid ( Art. 112 Abs. 1 und 2 BGG ). Einen solchen müsste die Beschwerdeführerin beim Obergericht zuerst zu verlangen; alsdann hätte sie in einer erneuten Beschwerde darzulegen, inwiefern damit Recht verletzt worden sein soll ( Art. 42 Abs. 2 BGG ).</w:t>
      </w:r>
    </w:p>
    <w:p>
      <w:r>
        <w:t>Was die Weiterleitung der Eingabe vom 23. Dezember 2019 an die KESB Oberaargau im Sinn eines Entlassungsgesuches anbelangt, so wird erst der kantonal letztinstanzliche Entlassungsentscheid vor Bundesgericht anfechtbar sein ( Art. 75 Abs. 1 BGG ), zumal nicht dargelegt wird, dass und inwiefern die Weiterleitung als solche gegen Recht verstossen haben könnte ( Art. 42 Abs. 2 BGG ).</w:t>
      </w:r>
    </w:p>
    <w:p>
      <w:r>
        <w:t>Ebenso wenig ist das Bundesgericht zuständig zur erstinstanzlichen Beurteilung von Schadenersatzbegehren.</w:t>
      </w:r>
    </w:p>
    <w:p>
      <w:r>
        <w:rPr>
          <w:b/>
        </w:rPr>
        <w:t>E. 4</w:t>
      </w:r>
    </w:p>
    <w:p>
      <w:r>
        <w:t>Nach dem Gesagten ist auf die Beschwerde im vereinfachten Verfahren nach Art. 108 Abs. 1 lit. a BGG nicht einzutreten.</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