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5A_1083/2025 vom 12. Januar 2026</w:t>
      </w:r>
    </w:p>
    <w:p>
      <w:r>
        <w:t>Bundesgericht, 2026-01-12, DE</w:t>
      </w:r>
    </w:p>
    <w:p>
      <w:r>
        <w:rPr>
          <w:b/>
        </w:rPr>
        <w:t xml:space="preserve">Quelle: </w:t>
      </w:r>
      <w:r>
        <w:t>https://mcp.opencaselaw.ch/entscheid/bger_5A_1083_2025</w:t>
      </w:r>
    </w:p>
    <w:p>
      <w:r>
        <w:t>FR: TF 5A_1083/2025 du 12 janvier 2026</w:t>
      </w:r>
    </w:p>
    <w:p>
      <w:r>
        <w:t>IT: TF 5A_1083/2025 del 12 gennaio 2026</w:t>
      </w:r>
    </w:p>
    <w:p>
      <w:pPr>
        <w:pStyle w:val="Heading2"/>
      </w:pPr>
      <w:r>
        <w:t>Erwägungen</w:t>
      </w:r>
    </w:p>
    <w:p>
      <w:r>
        <w:rPr>
          <w:b/>
        </w:rPr>
        <w:t>E. 1</w:t>
      </w:r>
    </w:p>
    <w:p>
      <w:r>
        <w:t>Die Vorinstanz ist auf die kantonale Beschwerde des Beschwerdeführers nicht eingetreten mit der Begründung, diese erfülle die minimalsten Anforderungen nicht. Anfechtungsgegenstand im bundesgerichtlichen Verfahren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Eingaben sind weitschweifig und inhaltlich nur schwer lesbar; sie sind teils polemisch, insbesondere im Zusammenhang mit den zahlreichen strafrechtlichen Vorwürfen gegenüber den beteiligten Gerichten bzw. mitwirkenden Richtern, und betreffen ansonsten primär die angebliche Erbunwürdigkeit und das erstinstanzliche Verfahren. Eine nachvollziehbare und auf die Erwägungen des angefochtenen obergerichtlichen Entscheides bezugnehmende Darlegung, inwiefern das Obergericht mit seinem Nichteintretensentscheid Recht verletzt haben soll, lässt sich nicht ausmachen.</w:t>
      </w:r>
    </w:p>
    <w:p>
      <w:r>
        <w:t>Gleiches gilt für den Ausstand und die Amtsunfähigkeit, welche in Bezug auf die am angefochtenen Entscheid mitwirkenden Oberrichter behauptet wird. Inwiefern diese in irgendeiner Weise befangen sein könnten, erschliesst sich nicht.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sind die Gesuche der Gegenpartei gegenstandslos.</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 Hingegen ist er dem Beschwerdegegner für dessen Gesuche nicht entschädigungspflichtig, weil die Beschwerdeeingaben der Gegenseite bewusst nicht zur Vernehmlassung zugestellt wurden und der Beschwerdegegner die Kosten seiner unaufgeforderten Reaktion selbst zu tragen hat (Art. 66 Abs. 3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