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5A_107/2025 vom 11. Juni 2025</w:t>
      </w:r>
    </w:p>
    <w:p>
      <w:r>
        <w:t>Bundesgericht, 2025-06-11, FR</w:t>
      </w:r>
    </w:p>
    <w:p>
      <w:r>
        <w:rPr>
          <w:b/>
        </w:rPr>
        <w:t xml:space="preserve">Quelle: </w:t>
      </w:r>
      <w:r>
        <w:t>https://mcp.opencaselaw.ch/entscheid/bger_5A_107_2025</w:t>
      </w:r>
    </w:p>
    <w:p>
      <w:r>
        <w:t>FR: TF 5A_107/2025 du 11 juin 2025</w:t>
      </w:r>
    </w:p>
    <w:p>
      <w:r>
        <w:t>IT: TF 5A_107/2025 del 11 giugno 2025</w:t>
      </w:r>
    </w:p>
    <w:p>
      <w:pPr>
        <w:pStyle w:val="Heading2"/>
      </w:pPr>
      <w:r>
        <w:t>Erwägungen</w:t>
      </w:r>
    </w:p>
    <w:p>
      <w:r>
        <w:rPr>
          <w:b/>
        </w:rPr>
        <w:t>E. 1.1</w:t>
      </w:r>
    </w:p>
    <w:p>
      <w:r>
        <w:t>L'arrêt attaqué est une décision incidente qui reconnaît la compétence du tribunal saisi pour statuer sur la demande. En vertu de l' art. 92 LTF , une telle décision est susceptible d'un recours immédiat au Tribunal fédéral ( art. 92 LTF ; cf. ATF 138 III 558 consid. 1.3; arrêt 4A_vvv7/2021 du 25 mars 2022 consid. 1.2, non publié aux ATF 148 III 314 ).</w:t>
      </w:r>
    </w:p>
    <w:p>
      <w:r>
        <w:t>Lorsque le recours a pour objet une décision incidente, la valeur litigieuse est déterminée par les conclusions restées litigieuses devant l'autorité compétente sur le fond ( art. 51 al. 1 let . c LTF). En l'espèce, le seuil de 30'000 fr. ( art. 74 al. 1 let. b LTF ) est dépassé de sorte que le recours en matière civile est ouvert. Au surplus, l'arrêt attaqué, rendu sur recours, émane d'une autorité judiciaire cantonale supérieure statuant en dernière instance ( art. 75 al. 1 et 2 LTF ). Interjeté par la partie dont l'exception a été rejetée ( art. 76 al. 1 LTF ), le recours est en principe recevable, puisqu'il a été déposé dans le délai ( art. 46 al. 1 let . c et art. 100 al. 1 LTF ) et la forme ( art. 42 LTF ) prévus par la loi.</w:t>
      </w:r>
    </w:p>
    <w:p>
      <w:r>
        <w:rPr>
          <w:b/>
        </w:rPr>
        <w:t>E. 1.2</w:t>
      </w:r>
    </w:p>
    <w:p>
      <w:r>
        <w:t>La conclusion visant à l'annulation du jugement de première instance rendu le 5 décembre 2023 est d'emblée irrecevable en raison de l'effet dévolutif de l'appel déposé auprès de la cour cantonale ( ATF 146 II 335 consid. 1.1.2 et les références; arrêts 5A_734/2023 du 18 décembre 2023 consid. 1.2). Seule la décision de la dernière instance cantonale peut être attaquée devant le Tribunal fédéral ( art. 75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 ATF 145 I 108 consid. 4.4.1 et les références). Dans ce cas, conformément au principe d'allégation précité, le recourant doit désigner la norme cantonale qui aurait été violée arbitrairement et exposer en quoi consiste cette violation (arrêt 5A_691/2024 du 19 novembre 2024 consid. 2.1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1vvv I 310 consid. 2.2 et la référence), doit satisfaire au principe d'allégation susmentionné ( art. 106 al. 2 LTF ; cf.</w:t>
      </w:r>
    </w:p>
    <w:p>
      <w:r>
        <w:t>supra consid. 2.1).</w:t>
      </w:r>
    </w:p>
    <w:p>
      <w:r>
        <w:t>En l'espèce, invoquant une constatation manifestement inexacte ou incomplète des faits, le recourant reproche à la cour cantonale d'avoir omis de reprendre dans son état de fait " l'ensemble des démarches et rappels effectués par le Département cantonal afin d'obtenir le paiement du solde de la taxe due dans le cadre du dossier sss " et formule à cet égard douze allégués nouveaux. Cela étant, le recourant reconnaît lui-même que ceux-ci ne sont pas déterminants pour juger de la question de la compétence</w:t>
      </w:r>
    </w:p>
    <w:p>
      <w:r>
        <w:t>ratione materiae du tribunal de première instance, seule question litigieuse. Outre que la critique ne respecte en rien les réquisits du principe d'allégation, elle ne saurait avoir une quelconque incidence sur le sort de la cause. Partant, elle est irrecevable.</w:t>
      </w:r>
    </w:p>
    <w:p>
      <w:r>
        <w:rPr>
          <w:b/>
        </w:rPr>
        <w:t>E. 3.1</w:t>
      </w:r>
    </w:p>
    <w:p>
      <w:r>
        <w:t>Le tribunal a retenu que l'action formée par les intimés portait sur une inscription déjà effectuée au Registre foncier genevois, de sorte que la voie judiciaire de l'action en rectification du registre foncier ( art. 975 CC ) était ouverte, même si le juge civil était lié par les décisions administratives relatives à la créance de droit public et au droit de gage. La contestation des intimés en lien avec l'inscription de l'hypothèque légale sur leur part PPE relevait bien de la compétence des juridictions civiles.</w:t>
      </w:r>
    </w:p>
    <w:p>
      <w:r>
        <w:rPr>
          <w:b/>
        </w:rPr>
        <w:t>E. 3.2</w:t>
      </w:r>
    </w:p>
    <w:p>
      <w:r>
        <w:t>L'autorité cantonale a constaté qu'il n'était pas contesté que l'hypothèque légale litigieuse, qui visait à garantir le paiement d'une taxe d'équipement, était une hypothèque légale de droit public fondée sur la LGZD/GE. Cela étant, elle a estimé que le recourant soutenait à tort que, pour ce motif, le tribunal ne serait pas autorisé à statuer sur l'action en rectification du registre foncier formée par les intimés. En effet, contrairement à ce qui résultait " des états de fait des jurisprudences citées par [le recourant] ", l'objet de la présente procédure n'était pas la contestation d'une décision administrative, mais celle de l'inscription au registre foncier d'une hypothèque légale de droit public qui, selon les intimés, aurait été effectuée indûment. Or, si la question de la validité du fondement juridique de l'inscription litigieuse relevait du droit public, celle-ci devait être examinée, à titre préjudiciel, par le juge civil dans le cadre d'une action en rectification du registre foncier. Le tribunal allait ainsi devoir statuer sur les questions préjudicielles de droit public qui se posent et, en particulier, déterminer s'il existe une décision administrative entrée en force portant sur l'hypothèque légale litigieuse - ce que le recourant soutenait mais que les intimés contestaient - et, le cas échéant, examiner si cette décision était frappée d'un motif de nullité absolue. En conséquence, c'est à raison que le tribunal avait admis sa compétence à raison de la matière pour trancher de l'action formée par les intimés. Le jugement attaqué devait donc être confirmé.</w:t>
      </w:r>
    </w:p>
    <w:p>
      <w:r>
        <w:rPr>
          <w:b/>
        </w:rPr>
        <w:t>E. 3.3</w:t>
      </w:r>
    </w:p>
    <w:p>
      <w:r>
        <w:t>Invoquant les mêmes arrêts et les mêmes extraits de doctrine que ceux déjà cités dans ses écritures d'appel, le recourant soutient derechef que le tribunal de première instance, juridiction civile, n'est pas compétent pour statuer sur la validité de l'hypothèque légale litigieuse. En effet, l'acte contesté par les intimés relève du droit public et non de la " juridiction civile contentieuse ou non contentieuse" visée à l'art. 86 al. 1 LOJ/GE. L'autorité cantonale aurait ainsi dû "prononcer un arrêt d'irrecevabilité (sic) s'agissant de l'action introduite par les [intimés], la cause relevant de la compétence des juridictions administratives (cf. art. 116 al. 1 et 132 al. 1, 1ère phrase, LOJ/GE) ".</w:t>
      </w:r>
    </w:p>
    <w:p>
      <w:r>
        <w:rPr>
          <w:b/>
        </w:rPr>
        <w:t>E. 4.1</w:t>
      </w:r>
    </w:p>
    <w:p>
      <w:r>
        <w:t>L'objet du litige est déterminé par les conclusions de la demande et le complexe de faits à la base de celles-ci, mais non par le fondement juridique ( ATF 1vvv III 254 consid. 3.1 et les références).</w:t>
      </w:r>
    </w:p>
    <w:p>
      <w:r>
        <w:t>En l'espèce, il résulte de l'arrêt attaqué que les conclusions prises par les intimés l'ont été au pied d'une demande en rectification du registre foncier au sens de l' art. 975 al. 1 CC et qu'elles tendent principalement au constat de la nullité de l'hypothèque légale inscrite en faveur du recourant et à ce que le Conservateur du registre foncier soit chargé de procéder à la radiation de cette hypothèque légale.</w:t>
      </w:r>
    </w:p>
    <w:p>
      <w:r>
        <w:rPr>
          <w:b/>
        </w:rPr>
        <w:t>E. 4.2.1</w:t>
      </w:r>
    </w:p>
    <w:p>
      <w:r>
        <w:t>Selon l' art. 975 al. 1 CC , celui dont les droits réels ont été lésés par une inscription faite ou des inscriptions modifiées ou radiées sans cause légitime, peut en exiger la radiation ou la modification.</w:t>
      </w:r>
    </w:p>
    <w:p>
      <w:r>
        <w:t>L'action en rectification du registre foncier au sens de cette disposition - qui est une action réelle - est notamment ouverte dans le cas où les conditions matérielles de l'opération faisaient défaut, c'est-à-dire si le titre d'acquisition et/ou la réquisition d'inscription ne sont pas valables (STEINAUER, Les droits réels, tome I, 6ème éd. 2019, n° 1316 et 1351). Le plus souvent, le demandeur invoquera la nullité du titre d'acquisition. La question de la validité du titre sera alors tranchée à titre préjudiciel ( ATF 104 II 75 consid. II.2; STEINAUER,</w:t>
      </w:r>
    </w:p>
    <w:p>
      <w:r>
        <w:t>op. cit. , n° 1317). Ainsi, l'existence d'une décision administrative exécutoire ne supprime pas sans réserve la compétence matérielle des tribunaux civils. En effet, dans le cadre d'une procédure civile telle que l'action en rectification du registre foncier, ceux-ci sont habilités à statuer à titre préjudiciel sur une question de doit public tant que les autorités administratives compétentes n'ont pas encore statué sur cette question de manière définitive. Ils peuvent également se saisir, à titre préjudiciel, de la question de la nullité absolue de décisions administratives rendues (arrêts 5A_737/2014 du 26 mai 2015 consid. 1.1; 5A_195/2012 du 21 juin 2012 consid. 4.2.2, publié</w:t>
      </w:r>
    </w:p>
    <w:p>
      <w:r>
        <w:t>in RNRF 2015 (96) p. 109 ss). Le fait que l'invalidité du titre d'acquisition doive être examinée à titre préjudiciel ne change rien à la qualification d'action réelle (DEILLON-SCHEGG,</w:t>
      </w:r>
    </w:p>
    <w:p>
      <w:r>
        <w:t>in CHK Kommentar, Sachenrecht, Art. 641 - 977 ZGB, Art. 1 - 61 SchlT ZGB, 4</w:t>
      </w:r>
    </w:p>
    <w:p>
      <w:r>
        <w:t>ème éd., 2023, n° 17 ad art. 975 CC ; KNECHT/HURNI, Rechtsschutz im Grundbuchrecht,</w:t>
      </w:r>
    </w:p>
    <w:p>
      <w:r>
        <w:t>in 75 Jahre Konferenz der Schweizerischen Grundbuchführung (KSG) - Festschrift, 2023, p. 41 ss, 61 et la référence).</w:t>
      </w:r>
    </w:p>
    <w:p>
      <w:r>
        <w:t>L'action en rectification du registre foncier n'a pas pour objet la naissance ou l'extinction d'un droit, mais la confirmation de l'existence ou de l'inexistence de celui-ci, que le jugement se limite à constater. Il s'agit ainsi d'une action de nature constatatoire ( art. 88 CPC ; ATF 137 III 293 consid. 4.1; arrêt 5A_1044/2020 du 15 octobre 2021 consid. 4.2.1.2).</w:t>
      </w:r>
    </w:p>
    <w:p>
      <w:r>
        <w:t>Sous réserve de cas expressément prévus par une loi spéciale (cf. art. 72 al. 1 LDFR ), la radiation ou la rectification d'une inscription faite indûment au registre foncier ne peut être ordonnée que par le juge civil ( ATF 107 Ib 186 consid. 6b et les références; SCHMID/ARNET,</w:t>
      </w:r>
    </w:p>
    <w:p>
      <w:r>
        <w:t>in Basler Kommentar, ZGB II, 7</w:t>
      </w:r>
    </w:p>
    <w:p>
      <w:r>
        <w:t>ème éd., 2023, n° 16 ad art. 975 CC ; cf. aussi KNECHT/HURNI,</w:t>
      </w:r>
    </w:p>
    <w:p>
      <w:r>
        <w:t>op. cit. ,</w:t>
      </w:r>
    </w:p>
    <w:p>
      <w:r>
        <w:t>loc. cit. ).</w:t>
      </w:r>
    </w:p>
    <w:p>
      <w:r>
        <w:rPr>
          <w:b/>
        </w:rPr>
        <w:t>E. 4.2.2</w:t>
      </w:r>
    </w:p>
    <w:p>
      <w:r>
        <w:t>La compétence matérielle et fonctionnelle pour connaître de l'action en rectification du registre foncier selon l' art. 975 CC relève de l'organisation judiciaire cantonale et est donc déterminée par le droit cantonal (cf. art. 4 al. 1 CPC ). A Genève, l'art. 168 de la loi d'application du code civil suisse et d'autres lois fédérales en matière civile du 11 octobre 2012 (LaCC/GE; RS/GE E 1 05) prévoit que le Tribunal de première instance est la juridiction compétente pour statuer sur les actions en rectification du registre foncier ( art. 975 et 977 CC ) (al. 1). L'alinéa 2 de cette disposition prévoit en outre que les dispositions du code de procédure civile, du 19 décembre 2008, sont applicables (art. 29, al. 1, lettre a, CPC), à l'exception des cas de rectification judiciaire découlant de l'article 977 CC, qui sont soumis à la loi sur la procédure administrative, du 12 septembre 1985.</w:t>
      </w:r>
    </w:p>
    <w:p>
      <w:r>
        <w:rPr>
          <w:b/>
        </w:rPr>
        <w:t>E. 4.3</w:t>
      </w:r>
    </w:p>
    <w:p>
      <w:r>
        <w:t>En l'espèce, le recourant ne conteste pas que les intimés ont ouvert une action en rectification du registre foncier au sens de l' art. 975 al. 1 CC , respectivement que les conclusions de leur demande correspondent à une telle action. Il considère toutefois que, dans la mesure où la demande tend au constat de la nullité de l'hypothèque légale litigieuse, l'action relève des juridictions administratives. Une telle position se heurte toutefois au principe selon lequel l'action en rectification du registre foncier compète au juge civil, soit, à Genève, au Tribunal de première instance, qui doit examiner la question de la nullité de l'hypothèque légale litigieuse à titre préjudiciel, comme l'a correctement retenu la Cour de justice. Le recourant ne soutient pas, à juste titre, qu'une loi spéciale conférerait exceptionnellement la compétence d'ordonner la rectification du registre foncier à une juridiction administrative et ne soulève pour le surplus aucun grief d'arbitraire ( art. 9 Cst. ) dans l'application du droit cantonal genevois (cf.</w:t>
      </w:r>
    </w:p>
    <w:p>
      <w:r>
        <w:t>supra consid. 2.1).</w:t>
      </w:r>
    </w:p>
    <w:p>
      <w:r>
        <w:t>Cela étant, les arrêts cités par le recourant ne soutiennent en rien sa position. Ils ont pour objet la décision administrative invoquée à l'appui de l'inscription d'une hypothèque légale, ouvrant la voie du recours auprès des instances administratives, respectivement du Tribunal fédéral par la voie du recours en matière de droit public ( ATF 122 I 351 consid. 1e [anciennement recours de droit public, art. 84 al. 2 aOJ]; arrêts 8C_634/2014 du 17 février 2015 consid. 6.7; 2C_552/2020 du 16 novembre 2020 consid. 1). Or, dans le cas d'espèce, il n'est pas contesté que les intimés n'ont été notifiés d'aucune décision formelle susceptible de recours et ils ne concluent ni à la réforme ni à l'annulation d'une décision administrative à titre principal. Le litige porte sur la rectification du registre foncier au sens de l' art. 975 CC , motif pris de l'inscription prétendument indue de l'hypothèque légale litigieuse.</w:t>
      </w:r>
    </w:p>
    <w:p>
      <w:r>
        <w:t>Le grief du recourant doit donc être rejeté.</w:t>
      </w:r>
    </w:p>
    <w:p>
      <w:r>
        <w:rPr>
          <w:b/>
        </w:rPr>
        <w:t>E. 5</w:t>
      </w:r>
    </w:p>
    <w:p>
      <w:r>
        <w:t>En définitive, le recours est rejeté. Les frais judiciaires, arrêtés à 7'000 fr., sont mis à la charge du recourant, qui succombe (art. 66 al.1 et 4</w:t>
      </w:r>
    </w:p>
    <w:p>
      <w:r>
        <w:t>a contrario LTF). Aucuns dépens ne sont dus, les intimés n'ayant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