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107/2018 vom 12. Februar 2018</w:t>
      </w:r>
    </w:p>
    <w:p>
      <w:r>
        <w:t>Bundesgericht, 2018-02-12, FR</w:t>
      </w:r>
    </w:p>
    <w:p>
      <w:r>
        <w:rPr>
          <w:b/>
        </w:rPr>
        <w:t xml:space="preserve">Quelle: </w:t>
      </w:r>
      <w:r>
        <w:t>https://mcp.opencaselaw.ch/entscheid/bger_5A_107_2018</w:t>
      </w:r>
    </w:p>
    <w:p>
      <w:r>
        <w:t>FR: TF 5A 107/2018 du 12 février 2018</w:t>
      </w:r>
    </w:p>
    <w:p>
      <w:r>
        <w:t>IT: TF 5A 107/2018 del 12 febbraio 2018</w:t>
      </w:r>
    </w:p>
    <w:p>
      <w:pPr>
        <w:pStyle w:val="Heading2"/>
      </w:pPr>
      <w:r>
        <w:t>Regeste</w:t>
      </w:r>
    </w:p>
    <w:p>
      <w:r>
        <w:t>effet suspensif (mesures protectrices de l'union conjugale) | Droit de la famille</w:t>
      </w:r>
    </w:p>
    <w:p>
      <w:pPr>
        <w:pStyle w:val="Heading2"/>
      </w:pPr>
      <w:r>
        <w:t>Erwägungen</w:t>
      </w:r>
    </w:p>
    <w:p>
      <w:r>
        <w:rPr>
          <w:b/>
        </w:rPr>
        <w:t>E. 1</w:t>
      </w:r>
    </w:p>
    <w:p>
      <w:r>
        <w:t>Par arrêt du 4 janvier 2018, le Président de la Chambre civile de la Cour de justice du canton de Genève a rejeté, dans la mesure de sa recevabilité, la requête d'octroi de l'effet suspensif formée par A.A.________ dans le cadre de son appel interjeté le 2 décembre 2017 contre le jugement de mesures protectrices de l'union conjugale rendu le 13 novembre 2017 par le Tribunal de première instance condamnant notamment A.A.________ au versement à son épouse B.A.________ de contributions d'entretien en sa faveur.</w:t>
      </w:r>
    </w:p>
    <w:p>
      <w:r>
        <w:rPr>
          <w:b/>
        </w:rPr>
        <w:t>E. 2</w:t>
      </w:r>
    </w:p>
    <w:p>
      <w:r>
        <w:t>Par acte du 1er février 2018, A.A.________ exerce un recours en matière civile au Tribunal fédéral, exposant refuser de contribuer aux besoins de son épouse, au motif que leur union serait un " mariage blanc ".</w:t>
      </w:r>
    </w:p>
    <w:p>
      <w:r>
        <w:rPr>
          <w:b/>
        </w:rPr>
        <w:t>E. 3</w:t>
      </w:r>
    </w:p>
    <w:p>
      <w:r>
        <w:t>Le présent recours est dirigé contre une décision refusant de restituer l'effet suspensif à un recours contre une ordonnance de mesures provisionnelles,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 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En l'occurrence, le recourant - qui semble avoir méconnu la nature de la décision dont est recours - ne discute pas de la recevabilité de son recours à l'encontre d'une décision de nature incidente, même de manière implicite. Or, l'on ne voit pas, de manière manifeste, à quel dommage irréparable le recourant serait exposé par l'octroi de cet effet suspensif, dès lors qu'un éventuel versement d'argent indu est sujet à remboursement. Dans ces circonstances, le recours fondé sur l' art. 93 al. 1 LTF doit d'emblée être déclaré irrecevable pour ce premier motif déjà.</w:t>
      </w:r>
    </w:p>
    <w:p>
      <w:r>
        <w:rPr>
          <w:b/>
        </w:rPr>
        <w:t>E. 4</w:t>
      </w:r>
    </w:p>
    <w:p>
      <w:r>
        <w:t>Par surcroît, le recours contre une décision incidente est soumis à la même voie de droit que celle qui est ouverte contre la décision principale (arrêts 5D_55/2011 du 23 septembre 2011 consid. 1.2; 5A_491/2007 du 15 novembre 2007, consid. 1.2). La cause pour laquelle l'effet suspensif est requis se rapporte à une procédure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Or, le recourant se plaint d'avoir été astreint à contribuer à l'entretien de son épouse sans soulever - même de manière implicite - le moindre grief, a fortiori de nature constitutionnelle. Ce faisant, il ne démontre pas avec précision et de manière détaillée quel droit fondamental il estime avoir été violé et pour quelle raison une telle violation devrait être admise. Le recours ne satisfait par conséquent pas aux exigences de motivation des art. 42 al. 2 et 106 al. 2 LTF et doit donc être déclaré irrecevable pour ce second motif également.</w:t>
      </w:r>
    </w:p>
    <w:p>
      <w:r>
        <w:rPr>
          <w:b/>
        </w:rPr>
        <w:t>E. 5</w:t>
      </w:r>
    </w:p>
    <w:p>
      <w:r>
        <w:t>En définitive, le recours doit être déclaré irrecevable selon la procédure simplifiée de l' art. 108 al. 1 let. a et b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