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106/2010 vom 26. März 2010</w:t>
      </w:r>
    </w:p>
    <w:p>
      <w:r>
        <w:t>Bundesgericht, 2010-03-26, FR</w:t>
      </w:r>
    </w:p>
    <w:p>
      <w:r>
        <w:rPr>
          <w:b/>
        </w:rPr>
        <w:t xml:space="preserve">Quelle: </w:t>
      </w:r>
      <w:r>
        <w:t>https://mcp.opencaselaw.ch/entscheid/bger_5A_106_2010</w:t>
      </w:r>
    </w:p>
    <w:p>
      <w:r>
        <w:t>FR: TF 5A 106/2010 du 26 mars 2010</w:t>
      </w:r>
    </w:p>
    <w:p>
      <w:r>
        <w:t>IT: TF 5A 106/2010 del 26 marzo 2010</w:t>
      </w:r>
    </w:p>
    <w:p>
      <w:pPr>
        <w:pStyle w:val="Heading2"/>
      </w:pPr>
      <w:r>
        <w:t>Regeste</w:t>
      </w:r>
    </w:p>
    <w:p>
      <w:r>
        <w:t>mesures de sûretes selon l'art. 223 LP | Droit des poursuites et faillites</w:t>
      </w:r>
    </w:p>
    <w:p>
      <w:pPr>
        <w:pStyle w:val="Heading2"/>
      </w:pPr>
      <w:r>
        <w:t>Erwägungen</w:t>
      </w:r>
    </w:p>
    <w:p>
      <w:r>
        <w:rPr>
          <w:b/>
        </w:rPr>
        <w:t>E. 1.1</w:t>
      </w:r>
    </w:p>
    <w:p>
      <w:r>
        <w:t>Le recours s'en prend à une décision finale ( art. 90 LTF ) rendue en matière de poursuite pour dettes et de faillite ( art. 72 al. 2 let. a LTF ) par une autorité cantonale de surveillance de dernière instance ( art. 75 al. 1 LTF ). Il a en outre été interjeté dans le délai légal ( art. 100 al. 2 let. a LTF ) par des parties qui ont succombé dans leurs conclusions prises devant l'autorité précédente ( art. 76 al. 1 LTF ). Il est donc recevable en principe comme recours en matière civile, indépendamment de la valeur litigieuse ( art. 74 al. 2 let . c LTF) et, cela étant, irrecevable comme recours en matière de droit public, plus exactement comme recours constitutionnel ( art. 113 LTF ).</w:t>
      </w:r>
    </w:p>
    <w:p>
      <w:r>
        <w:rPr>
          <w:b/>
        </w:rPr>
        <w:t>E. 1.2</w:t>
      </w:r>
    </w:p>
    <w:p>
      <w:r>
        <w:t>Les chefs de conclusions nouveaux ne sont pas admis ( art. 99 al. 2 LTF ). Ainsi en va-t-il de la demande de fixation du « dommage initial » à 50'000 fr., respectivement 12'000 fr. Au demeurant, les conclusions tendant à la réparation du dommage par le canton ne peuvent être formulées que dans le cadre de l'action en responsabilité au sens de l' art. 5 LP , action qui relève de la compétence du juge et non de celle de l'autorité de surveillance ( ATF 118 III 1 consid. 2b).</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Les recourantes apportent quelques brèves précisions concernant la nature de la requête au tribunal de première instance, la communication du jugement de faillite, l'avis de fermeture du magasin et le déroulement de la procédure. Elles se contentent là, toutefois, de simples affirmations qui ne répondent pas aux exigences de motivation susmentionnées. Au demeurant, une éventuelle correction ne serait à l'évidence pas susceptible d'influer sur le sort de la cause ( art. 97 al. 1 LTF ).</w:t>
      </w:r>
    </w:p>
    <w:p>
      <w:r>
        <w:rPr>
          <w:b/>
        </w:rPr>
        <w:t>E. 1.4</w:t>
      </w:r>
    </w:p>
    <w:p>
      <w:r>
        <w:t>Le recours en matière civile peut être interjeté pour violation du droit fédéral ( art. 95 let. a LTF ), y compris le droit constitutionnel ( ATF 134 III 379 consid. 1.2 p. 382). Le Tribunal fédéral applique ce droit d'office ( art. 106 al. 1 LTF ). Par exception à cette règle, il ne peut entrer en matière sur la violation d'un droit constitutionnel que si le grief a été invoqué et motivé de manière précise par la partie recourante ( art. 106 al. 2 LTF ; ATF 135 III 397 consid. 1.4 in fine).</w:t>
      </w:r>
    </w:p>
    <w:p>
      <w:r>
        <w:rPr>
          <w:b/>
        </w:rPr>
        <w:t>E. 2</w:t>
      </w:r>
    </w:p>
    <w:p>
      <w:r>
        <w:t>Aux termes de l' art. 221 LP , dès que l'office a reçu communication de l'ouverture de la faillite, il procède à l'inventaire des biens du failli et prend les mesures nécessaires pour leur conservation. Les recourantes reprochent à l'autorité cantonale de surveillance d'avoir indûment assimilé les mesures de conservation de l' art. 221 LP à celles de l' art. 223 LP . Elles ont tort, car les mesures nécessaires pour la conservation des biens du failli que l'office est habilité à prendre en vertu de l' art. 221 LP sont d'abord celles que mentionne l' art. 223 LP ( ATF 120 III 28 consid. 1b; FRANÇOIS VOUILLOZ, in Commentaire romand de la LP, n. 18 ad art. 221 LP ). L'office ordonne généralement, à ce titre, la suspension de l'exploitation professionnelle du failli; il doit immédiatement fermer et mettre sous scellés les locaux commerciaux, dépôts, magasins, ateliers, etc., à moins que l'entreprise ne puisse être administrée sous contrôle de l'office, lorsque, par exemple, il existe une perspective de transmettre l'ensemble de l'entreprise du failli (Vouilloz, op. cit., n. 2 et 3 ad art. 223 LP ). En l'espèce, le prétendu engagement du tiers de libérer le capital (20'000 fr.) d'une société qui reprendrait les actifs et passifs de la faillie ne ressortait d'aucune pièce produite. C'est donc à bon droit que la commission cantonale de surveillance a confirmé la mise sous scellés de l'arcade dans laquelle la faillie exerçait son activité.</w:t>
      </w:r>
    </w:p>
    <w:p>
      <w:r>
        <w:rPr>
          <w:b/>
        </w:rPr>
        <w:t>E. 3</w:t>
      </w:r>
    </w:p>
    <w:p>
      <w:r>
        <w:t>Lorsque le débiteur déclaré en faillite propose un concordat, l'administration de la faillite le soumet avec son préavis aux créanciers, qui en délibèrent lors de leur seconde assemblée au plus tôt ( art. 332 al. 1 LP ); en cas de liquidation sommaire ( art. 231 LP ), le failli doit faire l'avance des frais occasionnés par l'assemblée des créanciers à convoquer par l'office ( art. 96 let. a OAOF ). La suspension de la procédure de réalisation en raison d'une proposition de concordat par le failli n'intervient de plein droit que dès l'acceptation du projet par l'assemblée des créanciers et jusqu'à l'homologation par l'autorité compétente; elle peut certes être ordonnée auparavant déjà par la première assemblée des créanciers ( art. 238 al. 2 LP ) ou par l'administration de la faillite en cas de procédure sommaire, mais à condition que les circonstances le justifient et que le failli offre des garanties positives pour l'aboutissement du concordat, le dépôt d'une proposition de concordat ne suffisant pas, à lui seul, à suspendre les mesures de réalisation en cours ( ATF 120 III 94 consid. 2a et les références citées). Contrairement à ce qu'affirment les recourantes, l'autorité précédente n'a pas méconnu la portée des dispositions de l' art. 332 al. 1 LP . Les conditions d'un concordat dans la faillite faisaient clairement défaut, dès lors qu'aucun projet de concordat digne de ce nom n'avait été présenté et que la faillie n'avait pas fait l'avance de frais nécessaire à la tenue d'une assemblée des créanciers.</w:t>
      </w:r>
    </w:p>
    <w:p>
      <w:r>
        <w:rPr>
          <w:b/>
        </w:rPr>
        <w:t>E. 4</w:t>
      </w:r>
    </w:p>
    <w:p>
      <w:r>
        <w:t>Faute d'être motivés conformément aux exigences requises (cf. consid. 1.4 ci-dessus), les griefs de violation des droits constitutionnels soulevés par les recourantes sont irrecevables.</w:t>
      </w:r>
    </w:p>
    <w:p>
      <w:r>
        <w:rPr>
          <w:b/>
        </w:rPr>
        <w:t>E. 5</w:t>
      </w:r>
    </w:p>
    <w:p>
      <w:r>
        <w:t>Il résulte de ce qui précède que le recours doit être rejeté dans la mesure de sa recevabilité. L'échec prévisible des conclusions des recourantes commande le rejet de leur demande d'assistance judiciaire ( art. 64 al. 1 LTF ) et donc leur condamnation aux frais conformément à l'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