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1060/2019 vom 8. Januar 2020</w:t>
      </w:r>
    </w:p>
    <w:p>
      <w:r>
        <w:t>Bundesgericht, 2020-01-08, IT</w:t>
      </w:r>
    </w:p>
    <w:p>
      <w:r>
        <w:rPr>
          <w:b/>
        </w:rPr>
        <w:t xml:space="preserve">Quelle: </w:t>
      </w:r>
      <w:r>
        <w:t>https://mcp.opencaselaw.ch/entscheid/bger_5A_1060_2019</w:t>
      </w:r>
    </w:p>
    <w:p>
      <w:r>
        <w:t>FR: TF 5A 1060/2019 du 8 janvier 2020</w:t>
      </w:r>
    </w:p>
    <w:p>
      <w:r>
        <w:t>IT: TF 5A 1060/2019 del 8 gennaio 2020</w:t>
      </w:r>
    </w:p>
    <w:p>
      <w:pPr>
        <w:pStyle w:val="Heading2"/>
      </w:pPr>
      <w:r>
        <w:t>Regeste</w:t>
      </w:r>
    </w:p>
    <w:p>
      <w:r>
        <w:t>provvedimenti cautelari (protezione dell'unione coniugale)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decreto cautelare 4 novembre 2019 emanato in una procedura a tutela dell'unione coniugale promossa da B.________ nei confronti del marito A.________, il Pretore della giurisdizione di Mendrisio Nord ha condannato quest'ultimo a versare un contributo alimentare di fr. 200.-- mensili per la moglie, di fr. 958.-- mensili per la figlia C.________ e di fr. 1'135.-- mensili per la figlia D.________. Mediante sentenza 28 novembre 2019 la I Camera civile del Tribunale d'appello del Cantone Ticino ha parzialmente accolto l'appello di A.________. La Corte cantonale ha annullato il decreto cautelare pretorile per quanto riguarda il contributo alimentare nei confronti della moglie e rinviato gli atti al Pretore affinché emani su tal punto un giudizio motivato. Per quanto riguarda invece i contributi di mantenimento nei confronti delle figlie, i Giudici cantonali hanno osservato che le conclusioni volte alla loro riduzione non erano quantificate e risultavano quindi inammissibili.</w:t>
      </w:r>
    </w:p>
    <w:p>
      <w:r>
        <w:rPr>
          <w:b/>
        </w:rPr>
        <w:t>E. 2</w:t>
      </w:r>
    </w:p>
    <w:p>
      <w:r>
        <w:t>Con ricorso 21 dicembre 2019 A.________ ha impugnato la sentenza cantonale dinanzi al Tribunale federale, chiedendo in sostanza di stralciare il contributo alimentare in favore della moglie e di ridurre quello per le figlie. Egli chiede anche (implicitamente) di essere posto al beneficio dell'assistenza giudiziaria. Non sono state chieste determinazioni.</w:t>
      </w:r>
    </w:p>
    <w:p>
      <w:r>
        <w:rPr>
          <w:b/>
        </w:rPr>
        <w:t>E. 3</w:t>
      </w:r>
    </w:p>
    <w:p>
      <w:r>
        <w:t>L'atto ricorsuale al Tribunale federale deve contenere i motivi ( art. 42 cpv. 1 LTF ). La sentenza qui impugnata è stata emanata in materia di misure cautelari, per cui la parte ricorrente può far valere soltanto la violazione di diritti costituzionali ( art. 98 LTF ); nei motivi del gravame essa deve quindi indicare in modo chiaro e dettagliato i diritti costituzionali ritenuti lesi e spiegare, con un'argomentazione puntuale e precisa attinente alla decisione impugnata, in cosa consista la pretesa violazione ( art. 106 cpv. 2 LTF ; DTF 143 II 283 consid. 1.2.2; 142 III 364 consid. 2.4; 134 II 244 consid. 2.2). Il rimedio all'esame non soddisfa tali esigenze di motivazione: il ricorrente non lamenta infatti alcuna lesione di diritti costituzionali ed omette di misurarsi con le argomentazioni contenute nel giudizio cantonale.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deciso nella procedura semplificata dell' art. 108 cpv. 1 lett. b LTF . Indipendentemente dalla pretesa indigenza, la (implicita) domanda di assistenza giudiziaria del ricorrente va respinta in ragione dell'assenza di possibilità di esito favorevole del ricorso ( art. 64 cpv. 1 e 3 LTF ). Le spese giudiziarie sono pertanto poste a suo carico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